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Verint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92343X100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Jason Wright</w:t>
      </w:r>
    </w:p>
    <w:p>
      <w:pPr>
        <w:spacing w:after="0" w:line="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Valor Buyer LP, c/o Apax Partners US, LLC, 601 Lexington Avenue, 58th Floor</w:t>
      </w:r>
    </w:p>
    <w:p>
      <w:pPr>
        <w:jc w:val="center"/>
        <w:ind w:right="539"/>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(212) 753-6300</w:t>
      </w: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Leo M. Greenberg, P.C.</w:t>
      </w:r>
    </w:p>
    <w:p>
      <w:pPr>
        <w:spacing w:after="0" w:line="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Kirkland &amp; Ellis LLP, 601 Lexington Avenue</w:t>
      </w:r>
    </w:p>
    <w:p>
      <w:pPr>
        <w:jc w:val="center"/>
        <w:ind w:right="539"/>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(212) 446-4800</w:t>
      </w: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Joshua N. Korff, P.C.</w:t>
      </w:r>
    </w:p>
    <w:p>
      <w:pPr>
        <w:spacing w:after="0" w:line="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Kirkland &amp; Ellis LLP, 601 Lexington Avenue</w:t>
      </w:r>
    </w:p>
    <w:p>
      <w:pPr>
        <w:jc w:val="center"/>
        <w:ind w:right="539"/>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(212) 446-4800</w:t>
      </w: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Ross M. Leff, P.C.</w:t>
      </w:r>
    </w:p>
    <w:p>
      <w:pPr>
        <w:spacing w:after="0" w:line="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Kirkland &amp; Ellis LLP, 601 Lexington Avenue</w:t>
      </w:r>
    </w:p>
    <w:p>
      <w:pPr>
        <w:jc w:val="center"/>
        <w:ind w:right="539"/>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(212) 446-4800</w:t>
      </w: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Abhishek Kolay, P.C.</w:t>
      </w:r>
    </w:p>
    <w:p>
      <w:pPr>
        <w:spacing w:after="0" w:line="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Kirkland &amp; Ellis LLP, 601 Lexington Avenue</w:t>
      </w:r>
    </w:p>
    <w:p>
      <w:pPr>
        <w:jc w:val="center"/>
        <w:ind w:right="539"/>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11/26/2025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ectPr>
          <w:pgSz w:w="11900" w:h="16838" w:orient="portrait"/>
          <w:cols w:equalWidth="0" w:num="1">
            <w:col w:w="10099"/>
          </w:cols>
          <w:pgMar w:left="360" w:top="866" w:right="1440" w:bottom="36" w:gutter="0" w:footer="0" w:header="0"/>
        </w:sectPr>
      </w:pPr>
    </w:p>
    <w:bookmarkStart w:id="1" w:name="page2"/>
    <w:bookmarkEnd w:id="1"/>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92343X100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Valor Buyer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598" w:right="339" w:bottom="491"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80"/>
          </w:cols>
          <w:pgMar w:left="320" w:top="598" w:right="339" w:bottom="491" w:gutter="0" w:footer="0" w:header="0"/>
          <w:type w:val="continuous"/>
        </w:sectPr>
      </w:pPr>
    </w:p>
    <w:bookmarkStart w:id="2" w:name="page3"/>
    <w:bookmarkEnd w:id="2"/>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92343X100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Valor Buyer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92343X100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Valor Topco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3" w:name="page4"/>
    <w:bookmarkEnd w:id="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GUERNSEY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92343X100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Apax X GP Co.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GUERNSEY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2" w:right="1440" w:bottom="0" w:gutter="0" w:footer="0" w:header="0"/>
          <w:type w:val="continuous"/>
        </w:sectPr>
      </w:pPr>
    </w:p>
    <w:bookmarkStart w:id="4" w:name="page5"/>
    <w:bookmarkEnd w:id="4"/>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92343X100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Apax X GP S.a r.l.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5" w:name="page6"/>
    <w:bookmarkEnd w:id="5"/>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92343X100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Apax Guernsey (Holdco) PCC Limited Apax X Cell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GUERNSEY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6" w:name="page7"/>
    <w:bookmarkEnd w:id="6"/>
    <w:p>
      <w:pPr>
        <w:spacing w:after="0" w:line="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Verint Systems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225 BROADHOLLOW ROAD, MELVILLE, NEW YORK , 11747.</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("Amendment No. 4") amends and supplements the Schedule 13D filed with the SEC on May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18, 2020, as amended by Amendment No. 1 filed with the SEC on June 12, 2020, as amended by Amendment No. 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filed with the SEC on April 9, 2021, and as amended by Amendment No 3 filed with the SEC on August 25, 2025 (the "Schedule 13D"). Unless otherwise set forth herein, the disclosures set forth in the Schedule 13D remain</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5(a) of the Schedule 13D is hereby amended and restated in its entirety as follows: The information set forth in rows (11) and (13) of the cover pages of this Schedule 13D is incorporated by reference into this Item 5.</w:t>
      </w:r>
    </w:p>
    <w:p>
      <w:pPr>
        <w:spacing w:after="0" w:line="17" w:lineRule="exact"/>
        <w:rPr>
          <w:rFonts w:ascii="Times New Roman" w:cs="Times New Roman" w:eastAsia="Times New Roman" w:hAnsi="Times New Roman"/>
          <w:sz w:val="39"/>
          <w:szCs w:val="39"/>
          <w:color w:val="auto"/>
          <w:vertAlign w:val="subscript"/>
        </w:rPr>
      </w:pPr>
    </w:p>
    <w:p>
      <w:pPr>
        <w:ind w:left="920" w:right="2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Schedule 13D is hereby amended and restated in its entirety as follows: The information set forth in rows (7) through (10) of the cover pages of this Schedule 13D is incorporated by reference into this Item 5.</w:t>
      </w:r>
    </w:p>
    <w:p>
      <w:pPr>
        <w:spacing w:after="0" w:line="17" w:lineRule="exact"/>
        <w:rPr>
          <w:rFonts w:ascii="Times New Roman" w:cs="Times New Roman" w:eastAsia="Times New Roman" w:hAnsi="Times New Roman"/>
          <w:sz w:val="39"/>
          <w:szCs w:val="39"/>
          <w:color w:val="auto"/>
          <w:vertAlign w:val="subscript"/>
        </w:rPr>
      </w:pPr>
    </w:p>
    <w:p>
      <w:pPr>
        <w:ind w:left="920" w:right="5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herein, none of the Reporting Persons have effected any transactions in the Issuer's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disposition, in connection with consummation of the Merger, of all Issuer securities</w:t>
      </w:r>
    </w:p>
    <w:p>
      <w:pPr>
        <w:spacing w:after="0" w:line="14" w:lineRule="exact"/>
        <w:rPr>
          <w:rFonts w:ascii="Times New Roman" w:cs="Times New Roman" w:eastAsia="Times New Roman" w:hAnsi="Times New Roman"/>
          <w:sz w:val="22"/>
          <w:szCs w:val="22"/>
          <w:color w:val="auto"/>
        </w:rPr>
      </w:pPr>
    </w:p>
    <w:p>
      <w:pPr>
        <w:ind w:left="920" w:right="20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previously reported by the Reporting Persons, the Reporting Persons ceased to beneficially own 5% of the Common Stock and have no further beneficial ownership reporting obligations.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Valor Buyer LP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Wright</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Jason Wright / President</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Valor Buyer GP LLC</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Wright</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Jason Wright / President</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Valor Topco Limited</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Babbe</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Mark Babbe / Director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Apax X GP Co. Limited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Latham - /s/ Mark Despres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Jeremy Latham / Director - Mark Despres /</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Company 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Apax X GP S.a r.l.</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Geoffrey Limpach - /s/ Pedro Neves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Geoffrey Limpach / Class A Manager - Pedro</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Neves / Class A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Apax Guernsey (Holdco) PCC Limited Apax X Cell</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Latham</w:t>
      </w:r>
    </w:p>
    <w:p>
      <w:pPr>
        <w:sectPr>
          <w:pgSz w:w="11900" w:h="16887" w:orient="portrait"/>
          <w:cols w:equalWidth="0" w:num="1">
            <w:col w:w="11160"/>
          </w:cols>
          <w:pgMar w:left="360" w:top="193" w:right="37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Times New Roman" w:cs="Times New Roman" w:eastAsia="Times New Roman" w:hAnsi="Times New Roman"/>
          <w:sz w:val="22"/>
          <w:szCs w:val="22"/>
          <w:color w:val="auto"/>
        </w:rPr>
        <w:t>Name/Title: Jeremy Latham / Director</w:t>
      </w:r>
    </w:p>
    <w:p>
      <w:pPr>
        <w:spacing w:after="0" w:line="44"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Valor Buyer LP By: Valor GP LLC Its: General Partner, Apax X GP S.a r.l., in its capacity as Managing General Partner of APAX X EUR SCSp, Apax Guernsey (Holdco) PCC Limited acting in respect of its Apax X Cell Limited</w:t>
      </w:r>
    </w:p>
    <w:sectPr>
      <w:pgSz w:w="11900" w:h="16838" w:orient="portrait"/>
      <w:cols w:equalWidth="0" w:num="2">
        <w:col w:w="1200" w:space="340"/>
        <w:col w:w="962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2025-12-01T19:51:05Z</dcterms:created>
  <dcterms:modified xsi:type="dcterms:W3CDTF">2025-12-01T19:51:05Z</dcterms:modified>
</cp:coreProperties>
</file>