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10, 2024</w:t>
      </w:r>
    </w:p>
    <w:p>
      <w:pPr>
        <w:spacing w:after="0" w:line="10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Verint Systems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130" w:lineRule="exact"/>
        <w:rPr>
          <w:sz w:val="24"/>
          <w:szCs w:val="24"/>
          <w:color w:val="auto"/>
        </w:rPr>
      </w:pPr>
    </w:p>
    <w:tbl>
      <w:tblPr>
        <w:tblLayout w:type="fixed"/>
        <w:tblInd w:w="2480" w:type="dxa"/>
        <w:tblCellMar>
          <w:top w:w="0" w:type="dxa"/>
          <w:left w:w="0" w:type="dxa"/>
          <w:bottom w:w="0" w:type="dxa"/>
          <w:right w:w="0" w:type="dxa"/>
        </w:tblCellMar>
      </w:tblPr>
      <w:tr>
        <w:trPr>
          <w:trHeight w:val="232"/>
        </w:trPr>
        <w:tc>
          <w:tcPr>
            <w:tcW w:w="1580" w:type="dxa"/>
            <w:vAlign w:val="bottom"/>
          </w:tcPr>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4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001-34807</w:t>
            </w: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8"/>
                <w:szCs w:val="18"/>
                <w:b w:val="1"/>
                <w:bCs w:val="1"/>
                <w:color w:val="auto"/>
                <w:w w:val="98"/>
              </w:rPr>
              <w:t>11-3200514</w:t>
            </w:r>
          </w:p>
        </w:tc>
      </w:tr>
      <w:tr>
        <w:trPr>
          <w:trHeight w:val="142"/>
        </w:trPr>
        <w:tc>
          <w:tcPr>
            <w:tcW w:w="158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240" w:type="dxa"/>
            <w:vAlign w:val="bottom"/>
          </w:tcPr>
          <w:p>
            <w:pPr>
              <w:spacing w:after="0"/>
              <w:rPr>
                <w:sz w:val="12"/>
                <w:szCs w:val="12"/>
                <w:color w:val="auto"/>
              </w:rPr>
            </w:pPr>
          </w:p>
        </w:tc>
        <w:tc>
          <w:tcPr>
            <w:tcW w:w="1220" w:type="dxa"/>
            <w:vAlign w:val="bottom"/>
          </w:tcPr>
          <w:p>
            <w:pPr>
              <w:jc w:val="center"/>
              <w:ind w:left="168"/>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73"/>
        </w:trPr>
        <w:tc>
          <w:tcPr>
            <w:tcW w:w="158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24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39"/>
        </w:trPr>
        <w:tc>
          <w:tcPr>
            <w:tcW w:w="1580" w:type="dxa"/>
            <w:vAlign w:val="bottom"/>
          </w:tcPr>
          <w:p>
            <w:pPr>
              <w:spacing w:after="0"/>
              <w:rPr>
                <w:sz w:val="24"/>
                <w:szCs w:val="24"/>
                <w:color w:val="auto"/>
              </w:rPr>
            </w:pPr>
          </w:p>
        </w:tc>
        <w:tc>
          <w:tcPr>
            <w:tcW w:w="324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225 Broadhollow Road</w:t>
            </w:r>
          </w:p>
        </w:tc>
        <w:tc>
          <w:tcPr>
            <w:tcW w:w="1220" w:type="dxa"/>
            <w:vAlign w:val="bottom"/>
          </w:tcPr>
          <w:p>
            <w:pPr>
              <w:spacing w:after="0"/>
              <w:rPr>
                <w:sz w:val="24"/>
                <w:szCs w:val="24"/>
                <w:color w:val="auto"/>
              </w:rPr>
            </w:pPr>
          </w:p>
        </w:tc>
      </w:tr>
      <w:tr>
        <w:trPr>
          <w:trHeight w:val="238"/>
        </w:trPr>
        <w:tc>
          <w:tcPr>
            <w:tcW w:w="1580" w:type="dxa"/>
            <w:vAlign w:val="bottom"/>
          </w:tcPr>
          <w:p>
            <w:pPr>
              <w:spacing w:after="0"/>
              <w:rPr>
                <w:sz w:val="20"/>
                <w:szCs w:val="20"/>
                <w:color w:val="auto"/>
              </w:rPr>
            </w:pPr>
          </w:p>
        </w:tc>
        <w:tc>
          <w:tcPr>
            <w:tcW w:w="324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rPr>
              <w:t>Melville,  New York  11747</w:t>
            </w:r>
          </w:p>
        </w:tc>
        <w:tc>
          <w:tcPr>
            <w:tcW w:w="1220" w:type="dxa"/>
            <w:vAlign w:val="bottom"/>
          </w:tcPr>
          <w:p>
            <w:pPr>
              <w:spacing w:after="0"/>
              <w:rPr>
                <w:sz w:val="20"/>
                <w:szCs w:val="20"/>
                <w:color w:val="auto"/>
              </w:rPr>
            </w:pPr>
          </w:p>
        </w:tc>
      </w:tr>
      <w:tr>
        <w:trPr>
          <w:trHeight w:val="254"/>
        </w:trPr>
        <w:tc>
          <w:tcPr>
            <w:tcW w:w="1580" w:type="dxa"/>
            <w:vAlign w:val="bottom"/>
          </w:tcPr>
          <w:p>
            <w:pPr>
              <w:spacing w:after="0"/>
              <w:rPr>
                <w:sz w:val="22"/>
                <w:szCs w:val="22"/>
                <w:color w:val="auto"/>
              </w:rPr>
            </w:pPr>
          </w:p>
        </w:tc>
        <w:tc>
          <w:tcPr>
            <w:tcW w:w="324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and zip code)</w:t>
            </w:r>
          </w:p>
        </w:tc>
        <w:tc>
          <w:tcPr>
            <w:tcW w:w="1220" w:type="dxa"/>
            <w:vAlign w:val="bottom"/>
          </w:tcPr>
          <w:p>
            <w:pPr>
              <w:spacing w:after="0"/>
              <w:rPr>
                <w:sz w:val="22"/>
                <w:szCs w:val="22"/>
                <w:color w:val="auto"/>
              </w:rPr>
            </w:pPr>
          </w:p>
        </w:tc>
      </w:tr>
      <w:tr>
        <w:trPr>
          <w:trHeight w:val="354"/>
        </w:trPr>
        <w:tc>
          <w:tcPr>
            <w:tcW w:w="1580" w:type="dxa"/>
            <w:vAlign w:val="bottom"/>
          </w:tcPr>
          <w:p>
            <w:pPr>
              <w:spacing w:after="0"/>
              <w:rPr>
                <w:sz w:val="24"/>
                <w:szCs w:val="24"/>
                <w:color w:val="auto"/>
              </w:rPr>
            </w:pPr>
          </w:p>
        </w:tc>
        <w:tc>
          <w:tcPr>
            <w:tcW w:w="324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7"/>
              </w:rPr>
              <w:t>(631) 962-9600</w:t>
            </w:r>
          </w:p>
        </w:tc>
        <w:tc>
          <w:tcPr>
            <w:tcW w:w="1220" w:type="dxa"/>
            <w:vAlign w:val="bottom"/>
          </w:tcPr>
          <w:p>
            <w:pPr>
              <w:spacing w:after="0"/>
              <w:rPr>
                <w:sz w:val="24"/>
                <w:szCs w:val="24"/>
                <w:color w:val="auto"/>
              </w:rPr>
            </w:pPr>
          </w:p>
        </w:tc>
      </w:tr>
      <w:tr>
        <w:trPr>
          <w:trHeight w:val="240"/>
        </w:trPr>
        <w:tc>
          <w:tcPr>
            <w:tcW w:w="1580" w:type="dxa"/>
            <w:vAlign w:val="bottom"/>
          </w:tcPr>
          <w:p>
            <w:pPr>
              <w:spacing w:after="0"/>
              <w:rPr>
                <w:sz w:val="20"/>
                <w:szCs w:val="20"/>
                <w:color w:val="auto"/>
              </w:rPr>
            </w:pPr>
          </w:p>
        </w:tc>
        <w:tc>
          <w:tcPr>
            <w:tcW w:w="324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220" w:type="dxa"/>
            <w:vAlign w:val="bottom"/>
          </w:tcPr>
          <w:p>
            <w:pPr>
              <w:spacing w:after="0"/>
              <w:rPr>
                <w:sz w:val="20"/>
                <w:szCs w:val="20"/>
                <w:color w:val="auto"/>
              </w:rPr>
            </w:pPr>
          </w:p>
        </w:tc>
      </w:tr>
    </w:tbl>
    <w:p>
      <w:pPr>
        <w:spacing w:after="0" w:line="362" w:lineRule="exact"/>
        <w:rPr>
          <w:sz w:val="24"/>
          <w:szCs w:val="24"/>
          <w:color w:val="auto"/>
        </w:rPr>
      </w:pPr>
    </w:p>
    <w:p>
      <w:pPr>
        <w:jc w:val="center"/>
        <w:ind w:left="660"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81" w:lineRule="exact"/>
        <w:rPr>
          <w:sz w:val="24"/>
          <w:szCs w:val="24"/>
          <w:color w:val="auto"/>
        </w:rPr>
      </w:pPr>
    </w:p>
    <w:p>
      <w:pPr>
        <w:ind w:left="840" w:hanging="389"/>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840" w:hanging="389"/>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840" w:hanging="389"/>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840" w:hanging="389"/>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5" w:lineRule="exact"/>
        <w:rPr>
          <w:sz w:val="24"/>
          <w:szCs w:val="24"/>
          <w:color w:val="auto"/>
        </w:rPr>
      </w:pPr>
    </w:p>
    <w:tbl>
      <w:tblPr>
        <w:tblLayout w:type="fixed"/>
        <w:tblInd w:w="128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640" w:type="dxa"/>
            <w:vAlign w:val="bottom"/>
          </w:tcPr>
          <w:p>
            <w:pPr>
              <w:spacing w:after="0"/>
              <w:rPr>
                <w:sz w:val="12"/>
                <w:szCs w:val="12"/>
                <w:color w:val="auto"/>
              </w:rPr>
            </w:pPr>
          </w:p>
        </w:tc>
        <w:tc>
          <w:tcPr>
            <w:tcW w:w="1500" w:type="dxa"/>
            <w:vAlign w:val="bottom"/>
            <w:gridSpan w:val="2"/>
          </w:tcPr>
          <w:p>
            <w:pPr>
              <w:jc w:val="center"/>
              <w:ind w:left="437"/>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60" w:type="dxa"/>
            <w:vAlign w:val="bottom"/>
          </w:tcPr>
          <w:p>
            <w:pPr>
              <w:spacing w:after="0"/>
              <w:rPr>
                <w:sz w:val="12"/>
                <w:szCs w:val="12"/>
                <w:color w:val="auto"/>
              </w:rPr>
            </w:pP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1"/>
        </w:trPr>
        <w:tc>
          <w:tcPr>
            <w:tcW w:w="37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5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VRNT</w:t>
            </w:r>
          </w:p>
        </w:tc>
        <w:tc>
          <w:tcPr>
            <w:tcW w:w="35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19"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jc w:val="center"/>
        <w:ind w:right="300"/>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4"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10, 2024, Verint Systems Inc. (the "Company" or "Verint") held its 2024 Annual Meeting of Stockholders (the "Annual Meeting"). The following is a brief description of each matter voted upon at the Annual Meeting, as well as the number of votes cast for or against each matter and the number of abstentions and broker non-votes with respect to each matter, as applicable. A more complete description of each matter is set forth in the Company's definitive proxy statement filed with the Securities and Exchange Commission on May 30, 2024 (the "Proxy Statement").</w:t>
      </w:r>
    </w:p>
    <w:p>
      <w:pPr>
        <w:spacing w:after="0" w:line="43" w:lineRule="exact"/>
        <w:rPr>
          <w:sz w:val="20"/>
          <w:szCs w:val="20"/>
          <w:color w:val="auto"/>
        </w:rPr>
      </w:pPr>
    </w:p>
    <w:p>
      <w:pPr>
        <w:ind w:left="660" w:right="58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The Company's stockholders elected the following persons as directors to serve for the following year or until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are duly elected and qualified:</w:t>
      </w:r>
    </w:p>
    <w:p>
      <w:pPr>
        <w:spacing w:after="0" w:line="214"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08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w w:val="95"/>
              </w:rPr>
              <w:t>Votes Withheld</w:t>
            </w:r>
          </w:p>
        </w:tc>
        <w:tc>
          <w:tcPr>
            <w:tcW w:w="380" w:type="dxa"/>
            <w:vAlign w:val="bottom"/>
          </w:tcPr>
          <w:p>
            <w:pPr>
              <w:spacing w:after="0"/>
              <w:rPr>
                <w:sz w:val="17"/>
                <w:szCs w:val="17"/>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1"/>
        </w:trPr>
        <w:tc>
          <w:tcPr>
            <w:tcW w:w="6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Bodner</w:t>
            </w:r>
          </w:p>
        </w:tc>
        <w:tc>
          <w:tcPr>
            <w:tcW w:w="24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62,254,129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1,442,625</w:t>
            </w:r>
          </w:p>
        </w:tc>
        <w:tc>
          <w:tcPr>
            <w:tcW w:w="380" w:type="dxa"/>
            <w:vAlign w:val="bottom"/>
          </w:tcPr>
          <w:p>
            <w:pPr>
              <w:spacing w:after="0"/>
              <w:rPr>
                <w:sz w:val="24"/>
                <w:szCs w:val="24"/>
                <w:color w:val="auto"/>
              </w:rPr>
            </w:pPr>
          </w:p>
        </w:tc>
        <w:tc>
          <w:tcPr>
            <w:tcW w:w="17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tcPr>
          <w:p>
            <w:pPr>
              <w:spacing w:after="0"/>
              <w:rPr>
                <w:sz w:val="24"/>
                <w:szCs w:val="24"/>
                <w:color w:val="auto"/>
              </w:rPr>
            </w:pPr>
          </w:p>
        </w:tc>
      </w:tr>
      <w:tr>
        <w:trPr>
          <w:trHeight w:val="230"/>
        </w:trPr>
        <w:tc>
          <w:tcPr>
            <w:tcW w:w="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Linda Crawford</w:t>
            </w:r>
          </w:p>
        </w:tc>
        <w:tc>
          <w:tcPr>
            <w:tcW w:w="246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61,477,220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2,219,534</w:t>
            </w:r>
          </w:p>
        </w:tc>
        <w:tc>
          <w:tcPr>
            <w:tcW w:w="3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Reid French</w:t>
            </w:r>
          </w:p>
        </w:tc>
        <w:tc>
          <w:tcPr>
            <w:tcW w:w="24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62,606,502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1,090,252</w:t>
            </w:r>
          </w:p>
        </w:tc>
        <w:tc>
          <w:tcPr>
            <w:tcW w:w="380" w:type="dxa"/>
            <w:vAlign w:val="bottom"/>
          </w:tcPr>
          <w:p>
            <w:pPr>
              <w:spacing w:after="0"/>
              <w:rPr>
                <w:sz w:val="19"/>
                <w:szCs w:val="19"/>
                <w:color w:val="auto"/>
              </w:rPr>
            </w:pPr>
          </w:p>
        </w:tc>
        <w:tc>
          <w:tcPr>
            <w:tcW w:w="17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tcPr>
          <w:p>
            <w:pPr>
              <w:spacing w:after="0"/>
              <w:rPr>
                <w:sz w:val="19"/>
                <w:szCs w:val="19"/>
                <w:color w:val="auto"/>
              </w:rPr>
            </w:pPr>
          </w:p>
        </w:tc>
      </w:tr>
      <w:tr>
        <w:trPr>
          <w:trHeight w:val="270"/>
        </w:trPr>
        <w:tc>
          <w:tcPr>
            <w:tcW w:w="6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Gold</w:t>
            </w:r>
          </w:p>
        </w:tc>
        <w:tc>
          <w:tcPr>
            <w:tcW w:w="246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63,402,788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293,966</w:t>
            </w:r>
          </w:p>
        </w:tc>
        <w:tc>
          <w:tcPr>
            <w:tcW w:w="3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shd w:val="clear" w:color="auto" w:fill="CCEEFF"/>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24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58,832,498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4,864,256</w:t>
            </w:r>
          </w:p>
        </w:tc>
        <w:tc>
          <w:tcPr>
            <w:tcW w:w="380" w:type="dxa"/>
            <w:vAlign w:val="bottom"/>
          </w:tcPr>
          <w:p>
            <w:pPr>
              <w:spacing w:after="0"/>
              <w:rPr>
                <w:sz w:val="23"/>
                <w:szCs w:val="23"/>
                <w:color w:val="auto"/>
              </w:rPr>
            </w:pPr>
          </w:p>
        </w:tc>
        <w:tc>
          <w:tcPr>
            <w:tcW w:w="17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tcPr>
          <w:p>
            <w:pPr>
              <w:spacing w:after="0"/>
              <w:rPr>
                <w:sz w:val="23"/>
                <w:szCs w:val="23"/>
                <w:color w:val="auto"/>
              </w:rPr>
            </w:pPr>
          </w:p>
        </w:tc>
      </w:tr>
      <w:tr>
        <w:trPr>
          <w:trHeight w:val="270"/>
        </w:trPr>
        <w:tc>
          <w:tcPr>
            <w:tcW w:w="6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Miller</w:t>
            </w:r>
          </w:p>
        </w:tc>
        <w:tc>
          <w:tcPr>
            <w:tcW w:w="246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61,077,449</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2,619,305</w:t>
            </w:r>
          </w:p>
        </w:tc>
        <w:tc>
          <w:tcPr>
            <w:tcW w:w="3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shd w:val="clear" w:color="auto" w:fill="CCEEFF"/>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Nottenburg</w:t>
            </w:r>
          </w:p>
        </w:tc>
        <w:tc>
          <w:tcPr>
            <w:tcW w:w="2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61,113,680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2,583,074</w:t>
            </w:r>
          </w:p>
        </w:tc>
        <w:tc>
          <w:tcPr>
            <w:tcW w:w="380" w:type="dxa"/>
            <w:vAlign w:val="bottom"/>
          </w:tcPr>
          <w:p>
            <w:pPr>
              <w:spacing w:after="0"/>
              <w:rPr>
                <w:sz w:val="23"/>
                <w:szCs w:val="23"/>
                <w:color w:val="auto"/>
              </w:rPr>
            </w:pPr>
          </w:p>
        </w:tc>
        <w:tc>
          <w:tcPr>
            <w:tcW w:w="17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tcPr>
          <w:p>
            <w:pPr>
              <w:spacing w:after="0"/>
              <w:rPr>
                <w:sz w:val="23"/>
                <w:szCs w:val="23"/>
                <w:color w:val="auto"/>
              </w:rPr>
            </w:pPr>
          </w:p>
        </w:tc>
      </w:tr>
      <w:tr>
        <w:trPr>
          <w:trHeight w:val="230"/>
        </w:trPr>
        <w:tc>
          <w:tcPr>
            <w:tcW w:w="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Robinson</w:t>
            </w:r>
          </w:p>
        </w:tc>
        <w:tc>
          <w:tcPr>
            <w:tcW w:w="246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60,753,208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2,943,546</w:t>
            </w:r>
          </w:p>
        </w:tc>
        <w:tc>
          <w:tcPr>
            <w:tcW w:w="3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Yvette Smith</w:t>
            </w:r>
          </w:p>
        </w:tc>
        <w:tc>
          <w:tcPr>
            <w:tcW w:w="24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62,668,402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1,028,352</w:t>
            </w:r>
          </w:p>
        </w:tc>
        <w:tc>
          <w:tcPr>
            <w:tcW w:w="380" w:type="dxa"/>
            <w:vAlign w:val="bottom"/>
          </w:tcPr>
          <w:p>
            <w:pPr>
              <w:spacing w:after="0"/>
              <w:rPr>
                <w:sz w:val="19"/>
                <w:szCs w:val="19"/>
                <w:color w:val="auto"/>
              </w:rPr>
            </w:pPr>
          </w:p>
        </w:tc>
        <w:tc>
          <w:tcPr>
            <w:tcW w:w="17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tcPr>
          <w:p>
            <w:pPr>
              <w:spacing w:after="0"/>
              <w:rPr>
                <w:sz w:val="19"/>
                <w:szCs w:val="19"/>
                <w:color w:val="auto"/>
              </w:rPr>
            </w:pPr>
          </w:p>
        </w:tc>
      </w:tr>
      <w:tr>
        <w:trPr>
          <w:trHeight w:val="270"/>
        </w:trPr>
        <w:tc>
          <w:tcPr>
            <w:tcW w:w="6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Wright</w:t>
            </w:r>
          </w:p>
        </w:tc>
        <w:tc>
          <w:tcPr>
            <w:tcW w:w="246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63,007,174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689,580</w:t>
            </w:r>
          </w:p>
        </w:tc>
        <w:tc>
          <w:tcPr>
            <w:tcW w:w="3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2,750,173</w:t>
            </w:r>
          </w:p>
        </w:tc>
        <w:tc>
          <w:tcPr>
            <w:tcW w:w="320" w:type="dxa"/>
            <w:vAlign w:val="bottom"/>
            <w:shd w:val="clear" w:color="auto" w:fill="CCEEFF"/>
          </w:tcPr>
          <w:p>
            <w:pPr>
              <w:spacing w:after="0"/>
              <w:rPr>
                <w:sz w:val="23"/>
                <w:szCs w:val="23"/>
                <w:color w:val="auto"/>
              </w:rPr>
            </w:pPr>
          </w:p>
        </w:tc>
      </w:tr>
    </w:tbl>
    <w:p>
      <w:pPr>
        <w:spacing w:after="0" w:line="317" w:lineRule="exact"/>
        <w:rPr>
          <w:sz w:val="20"/>
          <w:szCs w:val="20"/>
          <w:color w:val="auto"/>
        </w:rPr>
      </w:pPr>
    </w:p>
    <w:p>
      <w:pPr>
        <w:jc w:val="both"/>
        <w:ind w:left="660" w:right="14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Ratification of Deloitte &amp; Touche LLP as the Company's Independent Registered Public Accounting Firm. </w:t>
      </w:r>
      <w:r>
        <w:rPr>
          <w:rFonts w:ascii="Times New Roman" w:cs="Times New Roman" w:eastAsia="Times New Roman" w:hAnsi="Times New Roman"/>
          <w:sz w:val="18"/>
          <w:szCs w:val="18"/>
          <w:color w:val="auto"/>
        </w:rPr>
        <w:t>The Company's stockholders ratified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selection of Deloitte &amp; Touche LLP as the Company's independent registered public accountants for the year ending January 31, 2025. The results of the voting were 64,101,689 votes for, 2,309,387 votes against, and 35,851 abstentions.</w:t>
      </w:r>
    </w:p>
    <w:p>
      <w:pPr>
        <w:spacing w:after="0" w:line="200"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Named Executive Officer Compensation</w:t>
      </w:r>
      <w:r>
        <w:rPr>
          <w:rFonts w:ascii="Times New Roman" w:cs="Times New Roman" w:eastAsia="Times New Roman" w:hAnsi="Times New Roman"/>
          <w:sz w:val="18"/>
          <w:szCs w:val="18"/>
          <w:color w:val="auto"/>
        </w:rPr>
        <w:t>. The Company's stockholders approved, on a non-binding, advisory basis,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named executive officers as disclosed in the Proxy Statement. The results of the voting were 60,030,051 votes for, 3,596,377 votes against, 70,326 abstentions, and 2,750,173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2785110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8"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0"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VERINT SYSTEMS INC.</w:t>
      </w:r>
    </w:p>
    <w:p>
      <w:pPr>
        <w:spacing w:after="0" w:line="320" w:lineRule="exact"/>
        <w:rPr>
          <w:sz w:val="20"/>
          <w:szCs w:val="20"/>
          <w:color w:val="auto"/>
        </w:rPr>
      </w:pPr>
    </w:p>
    <w:p>
      <w:pPr>
        <w:ind w:left="10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July 11, 2024</w:t>
      </w:r>
    </w:p>
    <w:p>
      <w:pPr>
        <w:spacing w:after="0" w:line="279" w:lineRule="exact"/>
        <w:rPr>
          <w:sz w:val="20"/>
          <w:szCs w:val="20"/>
          <w:color w:val="auto"/>
        </w:rPr>
      </w:pPr>
    </w:p>
    <w:tbl>
      <w:tblPr>
        <w:tblLayout w:type="fixed"/>
        <w:tblInd w:w="486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5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Peter Fante</w:t>
            </w:r>
          </w:p>
        </w:tc>
      </w:tr>
      <w:tr>
        <w:trPr>
          <w:trHeight w:val="232"/>
        </w:trPr>
        <w:tc>
          <w:tcPr>
            <w:tcW w:w="54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Peter Fante</w:t>
            </w:r>
          </w:p>
        </w:tc>
      </w:tr>
      <w:tr>
        <w:trPr>
          <w:trHeight w:val="261"/>
        </w:trPr>
        <w:tc>
          <w:tcPr>
            <w:tcW w:w="540" w:type="dxa"/>
            <w:vAlign w:val="bottom"/>
          </w:tcPr>
          <w:p>
            <w:pPr>
              <w:spacing w:after="0"/>
              <w:rPr>
                <w:sz w:val="22"/>
                <w:szCs w:val="22"/>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Administrative Officer</w:t>
            </w:r>
          </w:p>
        </w:tc>
      </w:tr>
    </w:tbl>
    <w:p>
      <w:pPr>
        <w:spacing w:after="0" w:line="1" w:lineRule="exact"/>
        <w:rPr>
          <w:sz w:val="20"/>
          <w:szCs w:val="20"/>
          <w:color w:val="auto"/>
        </w:rPr>
      </w:pPr>
    </w:p>
    <w:sectPr>
      <w:pgSz w:w="11900" w:h="16838" w:orient="portrait"/>
      <w:cols w:equalWidth="0" w:num="1">
        <w:col w:w="11200"/>
      </w:cols>
      <w:pgMar w:left="320" w:top="91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2024-07-11T15:57:05Z</dcterms:created>
  <dcterms:modified xsi:type="dcterms:W3CDTF">2024-07-11T15:57:05Z</dcterms:modified>
</cp:coreProperties>
</file>