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4, 2024</w:t>
      </w:r>
    </w:p>
    <w:p>
      <w:pPr>
        <w:spacing w:after="0" w:line="8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Verint Systems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w:t>
      </w:r>
    </w:p>
    <w:p>
      <w:pPr>
        <w:sectPr>
          <w:pgSz w:w="11900" w:h="16838" w:orient="portrait"/>
          <w:cols w:equalWidth="0" w:num="1">
            <w:col w:w="11080"/>
          </w:cols>
          <w:pgMar w:left="320" w:top="1024" w:right="499" w:bottom="1440" w:gutter="0" w:footer="0" w:header="0"/>
        </w:sectPr>
      </w:pPr>
    </w:p>
    <w:p>
      <w:pPr>
        <w:spacing w:after="0" w:line="8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001-34807</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11-3200514</w:t>
      </w:r>
    </w:p>
    <w:p>
      <w:pPr>
        <w:spacing w:after="0" w:line="24" w:lineRule="exact"/>
        <w:rPr>
          <w:sz w:val="24"/>
          <w:szCs w:val="24"/>
          <w:color w:val="auto"/>
        </w:rPr>
      </w:pPr>
    </w:p>
    <w:p>
      <w:pPr>
        <w:sectPr>
          <w:pgSz w:w="11900" w:h="16838" w:orient="portrait"/>
          <w:cols w:equalWidth="0" w:num="3">
            <w:col w:w="4520" w:space="720"/>
            <w:col w:w="1660" w:space="720"/>
            <w:col w:w="3460"/>
          </w:cols>
          <w:pgMar w:left="320" w:top="1024" w:right="499" w:bottom="1440" w:gutter="0" w:footer="0" w:header="0"/>
          <w:type w:val="continuous"/>
        </w:sectPr>
      </w:pPr>
    </w:p>
    <w:p>
      <w:pPr>
        <w:spacing w:after="0" w:line="12" w:lineRule="exact"/>
        <w:rPr>
          <w:sz w:val="24"/>
          <w:szCs w:val="24"/>
          <w:color w:val="auto"/>
        </w:rPr>
      </w:pPr>
    </w:p>
    <w:p>
      <w:pPr>
        <w:jc w:val="center"/>
        <w:ind w:left="226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left="226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81" w:lineRule="exact"/>
        <w:rPr>
          <w:sz w:val="24"/>
          <w:szCs w:val="24"/>
          <w:color w:val="auto"/>
        </w:rPr>
      </w:pPr>
    </w:p>
    <w:p>
      <w:pPr>
        <w:sectPr>
          <w:pgSz w:w="11900" w:h="16838" w:orient="portrait"/>
          <w:cols w:equalWidth="0" w:num="3">
            <w:col w:w="4180" w:space="720"/>
            <w:col w:w="1940" w:space="720"/>
            <w:col w:w="3520"/>
          </w:cols>
          <w:pgMar w:left="320" w:top="1024"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225 Broadhollow Road</w:t>
      </w:r>
    </w:p>
    <w:p>
      <w:pPr>
        <w:spacing w:after="0" w:line="31" w:lineRule="exact"/>
        <w:rPr>
          <w:sz w:val="24"/>
          <w:szCs w:val="24"/>
          <w:color w:val="auto"/>
        </w:rPr>
      </w:pPr>
    </w:p>
    <w:p>
      <w:pPr>
        <w:jc w:val="center"/>
        <w:ind w:right="-13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b w:val="1"/>
          <w:bCs w:val="1"/>
          <w:color w:val="auto"/>
        </w:rPr>
        <w:t>Melville,</w:t>
        <w:tab/>
        <w:t>New York</w:t>
      </w:r>
      <w:r>
        <w:rPr>
          <w:sz w:val="20"/>
          <w:szCs w:val="20"/>
          <w:color w:val="auto"/>
        </w:rPr>
        <w:tab/>
      </w:r>
      <w:r>
        <w:rPr>
          <w:rFonts w:ascii="Times New Roman" w:cs="Times New Roman" w:eastAsia="Times New Roman" w:hAnsi="Times New Roman"/>
          <w:sz w:val="17"/>
          <w:szCs w:val="17"/>
          <w:b w:val="1"/>
          <w:bCs w:val="1"/>
          <w:color w:val="auto"/>
        </w:rPr>
        <w:t>11747</w:t>
      </w:r>
    </w:p>
    <w:p>
      <w:pPr>
        <w:spacing w:after="0" w:line="3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pacing w:after="0" w:line="6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(631) 962-9600</w:t>
      </w:r>
    </w:p>
    <w:p>
      <w:pPr>
        <w:sectPr>
          <w:pgSz w:w="11900" w:h="16838" w:orient="portrait"/>
          <w:cols w:equalWidth="0" w:num="1">
            <w:col w:w="11080"/>
          </w:cols>
          <w:pgMar w:left="320" w:top="1024" w:right="499" w:bottom="1440" w:gutter="0" w:footer="0" w:header="0"/>
          <w:type w:val="continuous"/>
        </w:sectPr>
      </w:pP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49" w:lineRule="exact"/>
        <w:rPr>
          <w:sz w:val="24"/>
          <w:szCs w:val="24"/>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2" w:lineRule="exact"/>
        <w:rPr>
          <w:sz w:val="24"/>
          <w:szCs w:val="24"/>
          <w:color w:val="auto"/>
        </w:rPr>
      </w:pPr>
    </w:p>
    <w:p>
      <w:pPr>
        <w:ind w:left="440" w:hanging="39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39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39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39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1" w:lineRule="exact"/>
        <w:rPr>
          <w:sz w:val="24"/>
          <w:szCs w:val="24"/>
          <w:color w:val="auto"/>
        </w:rPr>
      </w:pPr>
    </w:p>
    <w:tbl>
      <w:tblPr>
        <w:tblLayout w:type="fixed"/>
        <w:tblInd w:w="128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640" w:type="dxa"/>
            <w:vAlign w:val="bottom"/>
          </w:tcPr>
          <w:p>
            <w:pPr>
              <w:spacing w:after="0"/>
              <w:rPr>
                <w:sz w:val="12"/>
                <w:szCs w:val="12"/>
                <w:color w:val="auto"/>
              </w:rPr>
            </w:pPr>
          </w:p>
        </w:tc>
        <w:tc>
          <w:tcPr>
            <w:tcW w:w="1500" w:type="dxa"/>
            <w:vAlign w:val="bottom"/>
            <w:gridSpan w:val="2"/>
          </w:tcPr>
          <w:p>
            <w:pPr>
              <w:jc w:val="center"/>
              <w:ind w:left="437"/>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60" w:type="dxa"/>
            <w:vAlign w:val="bottom"/>
          </w:tcPr>
          <w:p>
            <w:pPr>
              <w:spacing w:after="0"/>
              <w:rPr>
                <w:sz w:val="12"/>
                <w:szCs w:val="12"/>
                <w:color w:val="auto"/>
              </w:rPr>
            </w:pP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1"/>
        </w:trPr>
        <w:tc>
          <w:tcPr>
            <w:tcW w:w="37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5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VRNT</w:t>
            </w:r>
          </w:p>
        </w:tc>
        <w:tc>
          <w:tcPr>
            <w:tcW w:w="356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p>
        </w:tc>
        <w:tc>
          <w:tcPr>
            <w:tcW w:w="2460" w:type="dxa"/>
            <w:vAlign w:val="bottom"/>
          </w:tcPr>
          <w:p>
            <w:pPr>
              <w:ind w:left="300"/>
              <w:spacing w:after="0" w:line="207" w:lineRule="exact"/>
              <w:rPr>
                <w:sz w:val="20"/>
                <w:szCs w:val="20"/>
                <w:color w:val="auto"/>
              </w:rPr>
            </w:pPr>
            <w:r>
              <w:rPr>
                <w:rFonts w:ascii="Times New Roman" w:cs="Times New Roman" w:eastAsia="Times New Roman" w:hAnsi="Times New Roman"/>
                <w:sz w:val="18"/>
                <w:szCs w:val="18"/>
                <w:color w:val="auto"/>
                <w:w w:val="97"/>
              </w:rPr>
              <w:t xml:space="preserve">Emerging growth company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54"/>
        </w:trPr>
        <w:tc>
          <w:tcPr>
            <w:tcW w:w="6900" w:type="dxa"/>
            <w:vAlign w:val="bottom"/>
            <w:vMerge w:val="continue"/>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4"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December 4, 2024, Verint Systems Inc. ("Verint", the "Company", "we", "us", and "our") issued a press release providing selected financial information for the three and nine months ended October 31, 2024, and its outlook. A copy of the press release is attached as Exhibit 99.1 hereto and is incorporated by reference into this Item 2.02 in its entirety.</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400" w:type="dxa"/>
            <w:vAlign w:val="bottom"/>
            <w:gridSpan w:val="4"/>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2400" w:type="dxa"/>
            <w:vAlign w:val="bottom"/>
            <w:gridSpan w:val="4"/>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8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412"/>
        </w:trPr>
        <w:tc>
          <w:tcPr>
            <w:tcW w:w="154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Verint Systems Inc., dated December 4, 2024</w:t>
            </w:r>
          </w:p>
        </w:tc>
      </w:tr>
      <w:tr>
        <w:trPr>
          <w:trHeight w:val="20"/>
        </w:trPr>
        <w:tc>
          <w:tcPr>
            <w:tcW w:w="6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520"/>
        </w:trPr>
        <w:tc>
          <w:tcPr>
            <w:tcW w:w="64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XBRL document)</w:t>
            </w:r>
          </w:p>
        </w:tc>
      </w:tr>
      <w:tr>
        <w:trPr>
          <w:trHeight w:val="992"/>
        </w:trPr>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VERINT SYSTEMS INC.</w:t>
      </w:r>
    </w:p>
    <w:p>
      <w:pPr>
        <w:spacing w:after="0" w:line="275" w:lineRule="exact"/>
        <w:rPr>
          <w:sz w:val="20"/>
          <w:szCs w:val="20"/>
          <w:color w:val="auto"/>
        </w:rPr>
      </w:pPr>
    </w:p>
    <w:p>
      <w:pPr>
        <w:ind w:left="8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December 4, 2024</w:t>
      </w:r>
    </w:p>
    <w:p>
      <w:pPr>
        <w:spacing w:after="0" w:line="279" w:lineRule="exact"/>
        <w:rPr>
          <w:sz w:val="20"/>
          <w:szCs w:val="20"/>
          <w:color w:val="auto"/>
        </w:rPr>
      </w:pPr>
    </w:p>
    <w:p>
      <w:pPr>
        <w:jc w:val="center"/>
        <w:ind w:left="4700"/>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Grant Highlander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19685</wp:posOffset>
            </wp:positionV>
            <wp:extent cx="3745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6" w:lineRule="exact"/>
        <w:rPr>
          <w:sz w:val="20"/>
          <w:szCs w:val="20"/>
          <w:color w:val="auto"/>
        </w:rPr>
      </w:pPr>
    </w:p>
    <w:p>
      <w:pPr>
        <w:ind w:left="526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Grant Highlander</w:t>
      </w:r>
    </w:p>
    <w:p>
      <w:pPr>
        <w:spacing w:after="0" w:line="31" w:lineRule="exact"/>
        <w:rPr>
          <w:sz w:val="20"/>
          <w:szCs w:val="20"/>
          <w:color w:val="auto"/>
        </w:rPr>
      </w:pPr>
    </w:p>
    <w:p>
      <w:pPr>
        <w:ind w:left="526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37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368935</wp:posOffset>
            </wp:positionV>
            <wp:extent cx="1414145"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Frankel,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Verint Systems Inc.</w:t>
      </w:r>
    </w:p>
    <w:p>
      <w:pPr>
        <w:spacing w:after="0" w:line="9" w:lineRule="exact"/>
        <w:rPr>
          <w:sz w:val="20"/>
          <w:szCs w:val="20"/>
          <w:color w:val="auto"/>
        </w:rPr>
      </w:pPr>
    </w:p>
    <w:p>
      <w:pPr>
        <w:ind w:right="8960" w:firstLine="8"/>
        <w:spacing w:after="0" w:line="296" w:lineRule="auto"/>
        <w:tabs>
          <w:tab w:leader="none" w:pos="470" w:val="left"/>
        </w:tabs>
        <w:numPr>
          <w:ilvl w:val="0"/>
          <w:numId w:val="2"/>
        </w:numPr>
        <w:rPr>
          <w:rFonts w:ascii="Arial" w:cs="Arial" w:eastAsia="Arial" w:hAnsi="Arial"/>
          <w:sz w:val="17"/>
          <w:szCs w:val="17"/>
          <w:color w:val="auto"/>
        </w:rPr>
      </w:pPr>
      <w:r>
        <w:rPr>
          <w:rFonts w:ascii="Arial" w:cs="Arial" w:eastAsia="Arial" w:hAnsi="Arial"/>
          <w:sz w:val="17"/>
          <w:szCs w:val="17"/>
          <w:color w:val="auto"/>
        </w:rPr>
        <w:t>962-9600 matthew.frankel@verint.com</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Verint Announces Q3 FYE 2025 Results</w:t>
      </w:r>
    </w:p>
    <w:p>
      <w:pPr>
        <w:spacing w:after="0" w:line="240" w:lineRule="exact"/>
        <w:rPr>
          <w:sz w:val="20"/>
          <w:szCs w:val="20"/>
          <w:color w:val="auto"/>
        </w:rPr>
      </w:pPr>
    </w:p>
    <w:p>
      <w:pPr>
        <w:ind w:right="2140"/>
        <w:spacing w:after="0" w:line="483" w:lineRule="auto"/>
        <w:rPr>
          <w:sz w:val="20"/>
          <w:szCs w:val="20"/>
          <w:color w:val="auto"/>
        </w:rPr>
      </w:pPr>
      <w:r>
        <w:rPr>
          <w:rFonts w:ascii="Arial" w:cs="Arial" w:eastAsia="Arial" w:hAnsi="Arial"/>
          <w:sz w:val="20"/>
          <w:szCs w:val="20"/>
          <w:i w:val="1"/>
          <w:iCs w:val="1"/>
          <w:color w:val="auto"/>
        </w:rPr>
        <w:t>Revenue and Diluted EPS Ahead of Q3 Guidance; Overachievement Driven by Early Renewal Revenue Strong AI Momentum Drove Bundled SaaS Revenue Growth Acceleration to 19% Year-Over-Year Expect to Finish the Year Strong; Maintaining FYE25 Guidance Investor Day to Be Held January 14, 2025</w:t>
      </w:r>
    </w:p>
    <w:p>
      <w:pPr>
        <w:spacing w:after="0" w:line="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b w:val="1"/>
          <w:bCs w:val="1"/>
          <w:color w:val="auto"/>
        </w:rPr>
        <w:t xml:space="preserve">MELVILLE, N.Y., December 4, 2024 </w:t>
      </w:r>
      <w:r>
        <w:rPr>
          <w:rFonts w:ascii="Arial" w:cs="Arial" w:eastAsia="Arial" w:hAnsi="Arial"/>
          <w:sz w:val="17"/>
          <w:szCs w:val="17"/>
          <w:color w:val="auto"/>
        </w:rPr>
        <w:t>-</w:t>
      </w:r>
      <w:r>
        <w:rPr>
          <w:rFonts w:ascii="Arial" w:cs="Arial" w:eastAsia="Arial" w:hAnsi="Arial"/>
          <w:sz w:val="17"/>
          <w:szCs w:val="17"/>
          <w:b w:val="1"/>
          <w:bCs w:val="1"/>
          <w:color w:val="auto"/>
        </w:rPr>
        <w:t xml:space="preserve"> Verint® </w:t>
      </w:r>
      <w:r>
        <w:rPr>
          <w:rFonts w:ascii="Arial" w:cs="Arial" w:eastAsia="Arial" w:hAnsi="Arial"/>
          <w:sz w:val="17"/>
          <w:szCs w:val="17"/>
          <w:color w:val="auto"/>
        </w:rPr>
        <w:t>(Nasdaq: VRNT), The CX Automation Company™, today announced results for the three and</w:t>
      </w:r>
      <w:r>
        <w:rPr>
          <w:rFonts w:ascii="Arial" w:cs="Arial" w:eastAsia="Arial" w:hAnsi="Arial"/>
          <w:sz w:val="17"/>
          <w:szCs w:val="17"/>
          <w:b w:val="1"/>
          <w:bCs w:val="1"/>
          <w:color w:val="auto"/>
        </w:rPr>
        <w:t xml:space="preserve"> </w:t>
      </w:r>
      <w:r>
        <w:rPr>
          <w:rFonts w:ascii="Arial" w:cs="Arial" w:eastAsia="Arial" w:hAnsi="Arial"/>
          <w:sz w:val="17"/>
          <w:szCs w:val="17"/>
          <w:color w:val="auto"/>
        </w:rPr>
        <w:t>nine months ended October 31, 2024 (FYE 2025). Revenue for the three months ended October 31, 2024 was $224 million, representing 3%</w:t>
      </w:r>
    </w:p>
    <w:p>
      <w:pPr>
        <w:spacing w:after="0" w:line="1" w:lineRule="exact"/>
        <w:rPr>
          <w:sz w:val="20"/>
          <w:szCs w:val="20"/>
          <w:color w:val="auto"/>
        </w:rPr>
      </w:pPr>
    </w:p>
    <w:p>
      <w:pPr>
        <w:jc w:val="both"/>
        <w:ind w:right="120"/>
        <w:spacing w:after="0" w:line="226" w:lineRule="auto"/>
        <w:rPr>
          <w:sz w:val="20"/>
          <w:szCs w:val="20"/>
          <w:color w:val="auto"/>
        </w:rPr>
      </w:pPr>
      <w:r>
        <w:rPr>
          <w:rFonts w:ascii="Arial" w:cs="Arial" w:eastAsia="Arial" w:hAnsi="Arial"/>
          <w:sz w:val="18"/>
          <w:szCs w:val="18"/>
          <w:color w:val="auto"/>
        </w:rPr>
        <w:t>year-over-year growth on a reported basis and 5% year-over-year growth on a non-GAAP basis as adjusted for the divestiture of our quality managed services business on January 31, 2024. Revenue for the nine months ended October 31, 2024 was $656 million, representing 2%</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year-over-year growth on a reported basis and 5% year-over-year growth on a non-GAAP basis as adjusted for the divestiture. For the three months ended October 31, 2024, diluted EPS was $0.39 on a GAAP basis and $0.54 on a non-GAAP basis. For the nine months ended October 31, 2024, diluted EPS was $0.58 on a GAAP basis and $1.62 on a non-GAAP basis.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Dan Bodner, Verint CEO commented, “We are pleased with our momentum in AI innovation and in customers reporting strong, tangible AI business outcomes with the Verint open platform. Today, our CX Automation Platform supports a hybrid cloud model, enabling our customers and partners to leap forward with AI-powered bots now. We believe that our ability to deliver strong and fast AI business outcomes is a unique and sustainable differentiator.”</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Bodner continued, “In Q3, we saw strong demand for AI business outcomes and our bundled SaaS revenue growth accelerated to 19% year-over-year. We also saw customers taking advantage of our hybrid cloud model and prioritizing AI projects over cloud conversion projects. New SaaS ACV bookings for new deals, excluding cloud conversions, increased 37% year-over-year in Q3. Behind our momentum is our strong AI innovation, and today, we also announced our latest AI-powered bot in the Verint platform.”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FYE 2025 Highlights</w:t>
      </w:r>
    </w:p>
    <w:p>
      <w:pPr>
        <w:spacing w:after="0" w:line="1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Up 3% year-over-year as reported and up ~5% year-over-year adjusted for divestiture</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Up ~70bps year-over-year</w:t>
      </w:r>
    </w:p>
    <w:p>
      <w:pPr>
        <w:spacing w:after="0" w:line="2"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 xml:space="preserve">Bundled SaaS Revenue: </w:t>
      </w:r>
      <w:r>
        <w:rPr>
          <w:rFonts w:ascii="Arial" w:cs="Arial" w:eastAsia="Arial" w:hAnsi="Arial"/>
          <w:sz w:val="18"/>
          <w:szCs w:val="18"/>
          <w:color w:val="auto"/>
        </w:rPr>
        <w:t>Up 19% year-over-year</w:t>
      </w:r>
    </w:p>
    <w:p>
      <w:pPr>
        <w:spacing w:after="0" w:line="2"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 xml:space="preserve">SaaS ARR: </w:t>
      </w:r>
      <w:r>
        <w:rPr>
          <w:rFonts w:ascii="Arial" w:cs="Arial" w:eastAsia="Arial" w:hAnsi="Arial"/>
          <w:sz w:val="18"/>
          <w:szCs w:val="18"/>
          <w:color w:val="auto"/>
        </w:rPr>
        <w:t>Up 11% year-over-year</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Grant Highlander, Verint CFO, added, “Q3 revenue came in at $224 million, around $14 million ahead of our guidance, representing approximately 5% year-over-year growth adjusted for last year’s divestiture. Our revenue overachievement was driven by unbundled SaaS renewal revenue coming in during Q3, that we previously expected to come in Q4. In addition, gross margins expanded approximately 70bps year-over-year in Q3 driven by our mix shift to recurring revenue. We are pleased with the progress we have made year to date and we maintain our full year guidance for revenue and non-GAAP diluted EPS.”</w:t>
      </w:r>
    </w:p>
    <w:p>
      <w:pPr>
        <w:sectPr>
          <w:pgSz w:w="11900" w:h="16838" w:orient="portrait"/>
          <w:cols w:equalWidth="0" w:num="1">
            <w:col w:w="11240"/>
          </w:cols>
          <w:pgMar w:left="320" w:top="122" w:right="339" w:bottom="1440" w:gutter="0" w:footer="0" w:header="0"/>
        </w:sectPr>
      </w:pPr>
    </w:p>
    <w:bookmarkStart w:id="4" w:name="page5"/>
    <w:bookmarkEnd w:id="4"/>
    <w:p>
      <w:pPr>
        <w:spacing w:after="0" w:line="223" w:lineRule="auto"/>
        <w:rPr>
          <w:sz w:val="20"/>
          <w:szCs w:val="20"/>
          <w:color w:val="auto"/>
        </w:rPr>
      </w:pPr>
      <w:r>
        <w:rPr>
          <w:rFonts w:ascii="Arial" w:cs="Arial" w:eastAsia="Arial" w:hAnsi="Arial"/>
          <w:sz w:val="18"/>
          <w:szCs w:val="18"/>
          <w:color w:val="auto"/>
        </w:rPr>
        <w:t>Highlander continued, “We look forward to our upcoming investor day on January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Investors will hear directly from our customers on AI business outcomes and we will review</w:t>
      </w:r>
    </w:p>
    <w:p>
      <w:pPr>
        <w:spacing w:after="0" w:line="20" w:lineRule="exact"/>
        <w:rPr>
          <w:sz w:val="20"/>
          <w:szCs w:val="20"/>
          <w:color w:val="auto"/>
        </w:rPr>
      </w:pPr>
      <w:r>
        <w:rPr>
          <w:sz w:val="20"/>
          <w:szCs w:val="20"/>
          <w:color w:val="auto"/>
        </w:rPr>
        <w:br w:type="column"/>
      </w:r>
    </w:p>
    <w:p>
      <w:pPr>
        <w:jc w:val="both"/>
        <w:ind w:hanging="55"/>
        <w:spacing w:after="0" w:line="253" w:lineRule="auto"/>
        <w:rPr>
          <w:sz w:val="20"/>
          <w:szCs w:val="20"/>
          <w:color w:val="auto"/>
        </w:rPr>
      </w:pPr>
      <w:r>
        <w:rPr>
          <w:rFonts w:ascii="Arial" w:cs="Arial" w:eastAsia="Arial" w:hAnsi="Arial"/>
          <w:sz w:val="18"/>
          <w:szCs w:val="18"/>
          <w:color w:val="auto"/>
        </w:rPr>
        <w:t>where we will showcase our AI differentiation. our financial model, including FYE26 guidance,</w:t>
      </w:r>
    </w:p>
    <w:p>
      <w:pPr>
        <w:spacing w:after="0" w:line="1" w:lineRule="exact"/>
        <w:rPr>
          <w:sz w:val="20"/>
          <w:szCs w:val="20"/>
          <w:color w:val="auto"/>
        </w:rPr>
      </w:pPr>
    </w:p>
    <w:p>
      <w:pPr>
        <w:sectPr>
          <w:pgSz w:w="11900" w:h="16838" w:orient="portrait"/>
          <w:cols w:equalWidth="0" w:num="2">
            <w:col w:w="7360" w:space="60"/>
            <w:col w:w="3820"/>
          </w:cols>
          <w:pgMar w:left="320" w:top="888" w:right="339" w:bottom="1440" w:gutter="0" w:footer="0" w:header="0"/>
        </w:sectPr>
      </w:pPr>
    </w:p>
    <w:p>
      <w:pPr>
        <w:spacing w:after="0"/>
        <w:rPr>
          <w:sz w:val="20"/>
          <w:szCs w:val="20"/>
          <w:color w:val="auto"/>
        </w:rPr>
      </w:pPr>
      <w:r>
        <w:rPr>
          <w:rFonts w:ascii="Arial" w:cs="Arial" w:eastAsia="Arial" w:hAnsi="Arial"/>
          <w:sz w:val="18"/>
          <w:szCs w:val="18"/>
          <w:color w:val="auto"/>
        </w:rPr>
        <w:t>and our long-term model for monetizing AI.”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FYE 2025 Outlook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non-GAAP outlook for the year ending January 31, 2025 is as follows:</w:t>
      </w:r>
    </w:p>
    <w:p>
      <w:pPr>
        <w:spacing w:after="0" w:line="25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 $933 million +/- 2%, reflecting 5% year-over-year growth (adjusted for the divestiture discussed above).</w:t>
      </w:r>
    </w:p>
    <w:p>
      <w:pPr>
        <w:spacing w:after="0" w:line="2" w:lineRule="exact"/>
        <w:rPr>
          <w:rFonts w:ascii="Arial" w:cs="Arial" w:eastAsia="Arial" w:hAnsi="Arial"/>
          <w:sz w:val="22"/>
          <w:szCs w:val="22"/>
          <w:color w:val="auto"/>
        </w:rPr>
      </w:pPr>
    </w:p>
    <w:p>
      <w:pPr>
        <w:ind w:left="660" w:hanging="328"/>
        <w:spacing w:after="0" w:line="228"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 xml:space="preserve">Diluted EPS: </w:t>
      </w:r>
      <w:r>
        <w:rPr>
          <w:rFonts w:ascii="Arial" w:cs="Arial" w:eastAsia="Arial" w:hAnsi="Arial"/>
          <w:sz w:val="18"/>
          <w:szCs w:val="18"/>
          <w:color w:val="auto"/>
        </w:rPr>
        <w:t>$2.90 at the midpoint of our revenue guidance, reflecting 6% year-over-year growth.</w:t>
      </w:r>
    </w:p>
    <w:p>
      <w:pPr>
        <w:spacing w:after="0" w:line="21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Our non-GAAP outlook for year ending January 31, 2025 excludes the following GAAP measure which we are able to quantify with reasonable certainty:</w:t>
      </w:r>
    </w:p>
    <w:p>
      <w:pPr>
        <w:spacing w:after="0" w:line="1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intangible assets of approximately $20 million for the year ending January 31, 2025.</w:t>
      </w:r>
    </w:p>
    <w:p>
      <w:pPr>
        <w:spacing w:after="0" w:line="23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Our non-GAAP outlook for the year ending January 31, 2025 excludes the following GAAP measures for which we are able to provide a range of probable significance:</w:t>
      </w:r>
    </w:p>
    <w:p>
      <w:pPr>
        <w:spacing w:after="0" w:line="166" w:lineRule="exact"/>
        <w:rPr>
          <w:sz w:val="20"/>
          <w:szCs w:val="20"/>
          <w:color w:val="auto"/>
        </w:rPr>
      </w:pPr>
    </w:p>
    <w:p>
      <w:pPr>
        <w:ind w:left="660" w:right="380" w:hanging="328"/>
        <w:spacing w:after="0" w:line="27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 expenses are expected to be between approximately $76 million and $78 million, for the year ending January 31, 2025, assuming market prices for our common stock approximately consistent with current levels.</w:t>
      </w:r>
    </w:p>
    <w:p>
      <w:pPr>
        <w:spacing w:after="0" w:line="19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non-GAAP guidance does not include the potential impact of any in-process business acquisitions that may close after the date hereof, and, unless otherwise specified, reflects foreign currency exchange rates approximately consistent with current rates.</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unable, without unreasonable efforts, to provide a reconciliation for other GAAP measures which are excluded from our non-GAAP outlook, including the impact of future business acquisitions or acquisition expenses, future restructuring expenses, and non-GAAP income tax adjustments due to the level of unpredictability and uncertainty associated with these items. For these same reasons, we are unable to assess the probable significance of these excluded items. While historical results may not be indicative of future results, actual amounts for the three and nine months ended October 31, 2024 and 2023 for the GAAP measures excluded from our non-GAAP outlook appear in Tables 2, 3, 4 and 5 of this press release.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Conference Call Information</w:t>
      </w:r>
    </w:p>
    <w:p>
      <w:pPr>
        <w:spacing w:after="0" w:line="25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We will conduct a conference call today at 4:30 p.m. ET to discuss our results for the three and nine months ended October 31, 2024 and outlook. An online, real-time webcast of the conference call and webcast slides will be available on our website at </w:t>
      </w:r>
      <w:r>
        <w:rPr>
          <w:rFonts w:ascii="Arial" w:cs="Arial" w:eastAsia="Arial" w:hAnsi="Arial"/>
          <w:sz w:val="18"/>
          <w:szCs w:val="18"/>
          <w:u w:val="single" w:color="auto"/>
          <w:color w:val="0000FF"/>
        </w:rPr>
        <w:t>www.verint.com</w:t>
      </w:r>
      <w:r>
        <w:rPr>
          <w:rFonts w:ascii="Arial" w:cs="Arial" w:eastAsia="Arial" w:hAnsi="Arial"/>
          <w:sz w:val="18"/>
          <w:szCs w:val="18"/>
          <w:color w:val="auto"/>
        </w:rPr>
        <w:t xml:space="preserve">. Participants may register for the call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to receive the dial-in numbers and unique PIN to access the call. Please join the call 5-10 minutes prior to the scheduled start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press release and the accompanying tables include non-GAAP financial measures. For a description of these non-GAAP financial measures, including the reasons management uses each measure, and reconciliations of non-GAAP financial measures presented for completed periods to the most directly comparable financial measures prepared in accordance with GAAP, please see the tables below as well as "Supplemental Information About Non-GAAP Financial Measures and Operating Metrics" at the end of this press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Verint Systems Inc.</w:t>
      </w:r>
    </w:p>
    <w:p>
      <w:pPr>
        <w:spacing w:after="0" w:line="217" w:lineRule="auto"/>
        <w:rPr>
          <w:sz w:val="20"/>
          <w:szCs w:val="20"/>
          <w:color w:val="auto"/>
        </w:rPr>
      </w:pPr>
      <w:r>
        <w:rPr>
          <w:rFonts w:ascii="Arial" w:cs="Arial" w:eastAsia="Arial" w:hAnsi="Arial"/>
          <w:sz w:val="18"/>
          <w:szCs w:val="18"/>
          <w:color w:val="auto"/>
        </w:rPr>
        <w:t>Verint</w:t>
      </w:r>
      <w:r>
        <w:rPr>
          <w:rFonts w:ascii="Arial" w:cs="Arial" w:eastAsia="Arial" w:hAnsi="Arial"/>
          <w:sz w:val="28"/>
          <w:szCs w:val="28"/>
          <w:color w:val="auto"/>
          <w:vertAlign w:val="superscript"/>
        </w:rPr>
        <w:t>®</w:t>
      </w:r>
      <w:r>
        <w:rPr>
          <w:rFonts w:ascii="Arial" w:cs="Arial" w:eastAsia="Arial" w:hAnsi="Arial"/>
          <w:sz w:val="18"/>
          <w:szCs w:val="18"/>
          <w:color w:val="auto"/>
        </w:rPr>
        <w:t xml:space="preserve"> (Nasdaq: VRNT) is a leader in customer experience ("CX") automation. The world’s most iconic brands – including more than 80 of the Fortune 100 companies – use the Verint Open Platform and our team of AI-powered bots to deliver tangible AI business outcomes across the enterprise.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Verint. The CX Automation Company™, is proud to be Certified™ by Great Place To Work®. Learn more at </w:t>
      </w:r>
      <w:r>
        <w:rPr>
          <w:rFonts w:ascii="Arial" w:cs="Arial" w:eastAsia="Arial" w:hAnsi="Arial"/>
          <w:sz w:val="18"/>
          <w:szCs w:val="18"/>
          <w:color w:val="0000FF"/>
        </w:rPr>
        <w:t>Verint.com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Cautions About Forward-Looking Statements</w:t>
      </w:r>
    </w:p>
    <w:p>
      <w:pPr>
        <w:sectPr>
          <w:pgSz w:w="11900" w:h="16838" w:orient="portrait"/>
          <w:cols w:equalWidth="0" w:num="1">
            <w:col w:w="11240"/>
          </w:cols>
          <w:pgMar w:left="320" w:top="888" w:right="339" w:bottom="1440" w:gutter="0" w:footer="0" w:header="0"/>
          <w:type w:val="continuous"/>
        </w:sectPr>
      </w:pPr>
    </w:p>
    <w:bookmarkStart w:id="5" w:name="page6"/>
    <w:bookmarkEnd w:id="5"/>
    <w:p>
      <w:pPr>
        <w:ind w:right="300"/>
        <w:spacing w:after="0" w:line="238" w:lineRule="auto"/>
        <w:rPr>
          <w:sz w:val="20"/>
          <w:szCs w:val="20"/>
          <w:color w:val="auto"/>
        </w:rPr>
      </w:pPr>
      <w:r>
        <w:rPr>
          <w:rFonts w:ascii="Arial" w:cs="Arial" w:eastAsia="Arial" w:hAnsi="Arial"/>
          <w:sz w:val="18"/>
          <w:szCs w:val="18"/>
          <w:color w:val="auto"/>
        </w:rPr>
        <w:t>This press release contains forward-looking statements, including statements regarding expectations, predictions, views, opportunities, plans, strategies, beliefs, and statements of similar effect relating to Verint Systems Inc. These forward-looking statements are not guarantees of future performance and they are based on management's expectations that involve a number of known and unknown risks, uncertainties, assumptions, and other important factors, any of which could cause our actual results or conditions to differ materially from those expressed in or implied by the forward-looking statements. Some of the factors that could cause our actual results or conditions to differ materially from current expectations include, among others: uncertainties regarding the impact of changes in macroeconomic and/or</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global conditions, including as a result of slowdowns, recessions, economic instability, elevated interest rates, tightening credit markets, inflation, instability in the banking sector, actual or threatened trade wars, political unrest, armed conflicts, natural disasters, or outbreaks of</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disease (including global epidemics or pandemics), as well as the resulting impact on spending by customers or partners, on our business; risks that our customers or partners delay, downsize, cancel, or refrain from placing orders or renewing subscriptions or contracts, or are unable to honor contractual commitments or payment obligations due to challenges or uncertainties in their budgets, liquidity, or businesses; risks associated with our ability to keep pace with technological advances and challenges and evolving industry standards, including achieving, demonstrating, and maintaining the competitive differentiation of our solution platform; to adapt to changing market potential from area to area within our markets; and to successfully develop, launch, and drive demand for new, innovative, high-quality products and services that meet or exceed customer challenges and needs, while simultaneously preserving our legacy businesses and migrating away from areas of commoditization; risks due to aggressive competition in all of our markets and our ability to keep pace with competitors, some of whom may be able to grow faster than us or have greater resources than us, including in areas such as sales and marketing, branding, technological innovation and development, and recruiting and retention; risks associated with our ability to properly execute on our software as a service ("SaaS") transition, including successfully transitioning customers to our cloud platform and the increased importance of</w:t>
      </w:r>
    </w:p>
    <w:p>
      <w:pPr>
        <w:spacing w:after="0" w:line="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subscription renewal rates and term lengths, and risk of increased variability in our period-to-period results based on the mix, terms, and timing of our transactions; risks relating to our ability to properly identify and execute on growth or strategic initiatives, manage investments in</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business and operations, and enhance our existing operations and infrastructure, including the proper prioritization and allocation of limited financial and other resources; risks associated with our ability to or costs to retain, recruit, and train qualified personnel and management in regions in which we operate either physically or remotely, including in new markets and growth areas we may enter, due to competition for talent, increased labor costs, applicable regulatory requirements, or otherwise; challenges associated with selling sophisticated solutions and cloud-based solutions, which may incorporate newer technologies, such as artificial intelligence ("AI"), whose adoption, value, and use-cases are still emerging (and may present risks of their own), including with respect to longer sales cycles, more complex sales processes and customer evaluation and approval processes, more complex contractual and information security requirements, and assisting customers in understanding and realizing the benefits of our solutions and technologies (including versus those of our competitors), as well as with developing, offering, implementing, and maintaining an enterprise-class, broad solution portfolio; risks that we may be unable to maintain, expand, or enable our relationships with partners as part of our growth strategy, including partners with whom we may overlap or compete, while avoiding excessive concentration with one or more partners; risks associated with our reliance on third-</w:t>
      </w:r>
    </w:p>
    <w:p>
      <w:pPr>
        <w:spacing w:after="0" w:line="8"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party suppliers, partners, or original equipment manufacturers (“OEMs”) for certain services, products, or components, including companies that may compete with us or work with our competitors; risks associated with our significant international operations, including exposure to</w:t>
      </w:r>
    </w:p>
    <w:p>
      <w:pPr>
        <w:spacing w:after="0" w:line="2"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regions subject to political or economic instability, fluctuations in foreign exchange rates, inflation, increased financial accounting and reporting burdens and complexities, and challenges associated with a significant portion of our cash being held overseas; risks associated with a significant part of our business coming from government contracts, and associated procurement processes and regulatory requirements; risks associated with our ability to identify suitable targets for acquisition or investment or successfully compete for, consummate, and implement mergers and acquisitions, including risks associated with valuations, legacy liabilities, reputational considerations, capital constraints, costs and expenses, maintaining profitability levels, expansion into new areas, management distraction, post-acquisition integration activities, and potential asset impairments; risks associated with complex and changing domestic and foreign regulatory environments, including, among others, with respect to data privacy, AI, cyber/information security, government contracts, anti-corruption, trade compliance, climate change or other environmental, social and governance matters, tax, and labor matters, relating to our own operations, the products and services we offer, and/or the use of our solutions by our customers; risks associated with the mishandling</w:t>
      </w:r>
    </w:p>
    <w:p>
      <w:pPr>
        <w:spacing w:after="0" w:line="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or perceived mishandling of sensitive or confidential information and data, including personally identifiable information or other information that may belong to our customers or other third parties, including in connection with our SaaS or other hosted or managed services offerings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or when we are asked to perform service or support; risks associated with our reliance on third parties to provide certain cloud hosting or other cloud-based services to us or our customers, including the risk of service disruptions, data breaches, or data loss or corruption; risks that our solutions or services, or those of third-party suppliers, partners, or OEMs which we use in or with our offerings or otherwise rely on, including third-party hosting platforms, may contain defects, vulnerabilities, or develop operational problems; risk that we or our solutions may be subject to security vulnerabilities or lapses, including cyber-attacks, information technology system breaches, failures, or disruptions; risks that our intellectual property ("IP") rights may not be adequate to protect our business or assets or that others may make claims on our IP, claim</w:t>
      </w:r>
    </w:p>
    <w:p>
      <w:pPr>
        <w:sectPr>
          <w:pgSz w:w="11900" w:h="16838" w:orient="portrait"/>
          <w:cols w:equalWidth="0" w:num="1">
            <w:col w:w="11240"/>
          </w:cols>
          <w:pgMar w:left="320" w:top="877" w:right="339" w:bottom="1440" w:gutter="0" w:footer="0" w:header="0"/>
        </w:sectPr>
      </w:pPr>
    </w:p>
    <w:bookmarkStart w:id="6" w:name="page7"/>
    <w:bookmarkEnd w:id="6"/>
    <w:p>
      <w:pPr>
        <w:ind w:right="140"/>
        <w:spacing w:after="0" w:line="252" w:lineRule="auto"/>
        <w:rPr>
          <w:sz w:val="20"/>
          <w:szCs w:val="20"/>
          <w:color w:val="auto"/>
        </w:rPr>
      </w:pPr>
      <w:r>
        <w:rPr>
          <w:rFonts w:ascii="Arial" w:cs="Arial" w:eastAsia="Arial" w:hAnsi="Arial"/>
          <w:sz w:val="17"/>
          <w:szCs w:val="17"/>
          <w:color w:val="auto"/>
        </w:rPr>
        <w:t>infringement on their IP rights, or claim a violation of their license rights, including relative to free or open source components we may use; risks associated with leverage resulting from our current debt position or our ability to incur additional debt, including with respect to liquidity considerations, covenant limitations and compliance, fluctuations in interest rates, dilution considerations (with respect to our convertible notes), and our ability to maintain our credit ratings; risks that we may experience liquidity or working capital issues and related risks that financing sources may be unavailable to us on reasonable terms or at all; risks arising as a result of contingent or other obligations or liabilities assumed in our acquisition of our former parent company, Comverse Technology, Inc. (“CTI”), or associated with formerly being</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consolidated with, and part of a consolidated tax group with, CTI; risks associated with changing accounting principles or standards, tax laws and regulations, tax rates, and the continuing availability of expected tax benefits; risks relating to the adequacy of our existing infrastructure,</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systems, processes, policies, procedures, internal controls, and personnel, and our ability to successfully implement and maintain enhancements to the foregoing, for our current and future operations and reporting needs, including related risks of financial statement omissions, misstatements, restatements, or filing delays; risks associated with market volatility in the prices of our common stock and convertible notes based on our performance, third-party publications or speculation, or other factors, and risks associated with actions of activist stockholders; risks associated with Apax Partners' significant ownership position and potential that its interests will not be aligned with those of our common stockholders; and risks associated with the February 1, 2021 spin-off of our former Cyber Intelligence Solutions business, including the possibility that the spin-off transaction does not achieve the benefits anticipated, does not qualify as a tax-free transaction, or exposes us to unexpected claims or liabilities. We assume no obligation to revise or update any forward-looking statement, except as otherwise required by law. For a detailed discussion of these risk factors, see our Annual Report on Form 10-K for the fiscal year ended January 31, 2024, our Quarterly Report on Form 10-Q for the quarter ended April 30, 2024, our Quarterly Report on Form 10-Q for the quarter ended July 31, 2024, our Quarterly Report on Form 10-Q for the quarter ended October 31, 2024, when filed, and other filings we make with the SEC.</w:t>
      </w:r>
    </w:p>
    <w:p>
      <w:pPr>
        <w:spacing w:after="0" w:line="199"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VERINT, VERINT DA VINCI, VERINT OPEN CCAAS, THE CX AUTOMATION COMPANY, THE CUSTOMER ENGAGEMENT COMPANY, and THE ENGAGEMENT CAPACITY GAP are trademarks of Verint Systems Inc. or its subsidiaries. Verint and other parties may also have trademark rights in other terms used herein.</w:t>
      </w:r>
    </w:p>
    <w:p>
      <w:pPr>
        <w:sectPr>
          <w:pgSz w:w="11900" w:h="16838" w:orient="portrait"/>
          <w:cols w:equalWidth="0" w:num="1">
            <w:col w:w="11220"/>
          </w:cols>
          <w:pgMar w:left="320" w:top="877"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1</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4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00" w:type="dxa"/>
            <w:vAlign w:val="bottom"/>
            <w:tcBorders>
              <w:bottom w:val="single" w:sz="8" w:color="auto"/>
            </w:tcBorders>
          </w:tcPr>
          <w:p>
            <w:pPr>
              <w:spacing w:after="0"/>
              <w:rPr>
                <w:sz w:val="18"/>
                <w:szCs w:val="18"/>
                <w:color w:val="auto"/>
              </w:rPr>
            </w:pPr>
          </w:p>
        </w:tc>
      </w:tr>
      <w:tr>
        <w:trPr>
          <w:trHeight w:val="212"/>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(in thousands, except per share data)</w:t>
            </w: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179,858</w:t>
            </w:r>
          </w:p>
        </w:tc>
        <w:tc>
          <w:tcPr>
            <w:tcW w:w="100" w:type="dxa"/>
            <w:vAlign w:val="bottom"/>
          </w:tcPr>
          <w:p>
            <w:pPr>
              <w:spacing w:after="0"/>
              <w:rPr>
                <w:sz w:val="18"/>
                <w:szCs w:val="18"/>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161,117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516,615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488,555</w:t>
            </w:r>
          </w:p>
        </w:tc>
      </w:tr>
      <w:tr>
        <w:trPr>
          <w:trHeight w:val="216"/>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139,025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224,193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218,547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655,640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645,278</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118,093</w:t>
            </w:r>
          </w:p>
        </w:tc>
      </w:tr>
      <w:tr>
        <w:trPr>
          <w:trHeight w:val="21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79,213</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acquired technology</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5,511</w:t>
            </w:r>
          </w:p>
        </w:tc>
      </w:tr>
      <w:tr>
        <w:trPr>
          <w:trHeight w:val="212"/>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65,566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194,071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202,817</w:t>
            </w:r>
          </w:p>
        </w:tc>
      </w:tr>
      <w:tr>
        <w:trPr>
          <w:trHeight w:val="208"/>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158,627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153,009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461,569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442,461</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97,923</w:t>
            </w:r>
          </w:p>
        </w:tc>
      </w:tr>
      <w:tr>
        <w:trPr>
          <w:trHeight w:val="21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297,532</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other acquired intangible assets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19,028</w:t>
            </w:r>
          </w:p>
        </w:tc>
      </w:tr>
      <w:tr>
        <w:trPr>
          <w:trHeight w:val="212"/>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136,879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126,291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401,506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414,483</w:t>
            </w:r>
          </w:p>
        </w:tc>
      </w:tr>
      <w:tr>
        <w:trPr>
          <w:trHeight w:val="208"/>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21,748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26,718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27,978</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w:t>
            </w:r>
          </w:p>
        </w:tc>
      </w:tr>
      <w:tr>
        <w:trPr>
          <w:trHeight w:val="21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(7,994)</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2"/>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other expense, net</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(8,411)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(2,495)</w:t>
            </w:r>
          </w:p>
        </w:tc>
      </w:tr>
      <w:tr>
        <w:trPr>
          <w:trHeight w:val="208"/>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(benefit from) provision for income taxes</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25,818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51,652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25,483</w:t>
            </w: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14,772</w:t>
            </w:r>
          </w:p>
        </w:tc>
      </w:tr>
      <w:tr>
        <w:trPr>
          <w:trHeight w:val="208"/>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10,711</w:t>
            </w: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08"/>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Verint Systems Inc.</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28,716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49,488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9,907</w:t>
            </w:r>
          </w:p>
        </w:tc>
      </w:tr>
      <w:tr>
        <w:trPr>
          <w:trHeight w:val="21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r>
      <w:tr>
        <w:trPr>
          <w:trHeight w:val="212"/>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Verint Systems Inc. common shares</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24,716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7,412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36,208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(5,693)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common share attributable to Verint Systems Inc.:</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0.39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0.12</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0.58</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62,143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63,887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62,116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64,411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62,803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64,144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62,761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64,411</w:t>
            </w:r>
          </w:p>
        </w:tc>
      </w:tr>
      <w:tr>
        <w:trPr>
          <w:trHeight w:val="20"/>
        </w:trPr>
        <w:tc>
          <w:tcPr>
            <w:tcW w:w="5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93"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Table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GAAP to Non-GAAP SaaS Metrics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SaaS 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Bundled SaaS revenue - GAAP</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63,251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184,770</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Unbundled SaaS revenue - GAAP</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52,400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208,241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161,470</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SaaS revenue - GAAP</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148,662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115,651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420,749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346,240</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bundled SaaS revenue adjustments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Estimated unbundled SaaS revenue adjustments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SaaS revenue adjustments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960</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Bundled SaaS revenue - non-GAAP</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185,730</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Unbundled SaaS revenue - non-GAAP</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52,400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208,241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161,470</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SaaS revenue - non-GAAP</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148,662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115,768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420,749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347,200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SaaS ACV</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420" w:type="dxa"/>
            <w:vAlign w:val="bottom"/>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880" w:type="dxa"/>
            <w:vAlign w:val="bottom"/>
            <w:tcBorders>
              <w:bottom w:val="single" w:sz="8" w:color="auto"/>
            </w:tcBorders>
          </w:tcPr>
          <w:p>
            <w:pPr>
              <w:spacing w:after="0"/>
              <w:rPr>
                <w:sz w:val="18"/>
                <w:szCs w:val="18"/>
                <w:color w:val="auto"/>
              </w:rPr>
            </w:pPr>
          </w:p>
        </w:tc>
      </w:tr>
      <w:tr>
        <w:trPr>
          <w:trHeight w:val="21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New SaaS ACV</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27,929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25,389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68,775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67,838</w:t>
            </w:r>
          </w:p>
        </w:tc>
      </w:tr>
      <w:tr>
        <w:trPr>
          <w:trHeight w:val="21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New SaaS ACV - bundled SaaS component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55,132</w:t>
            </w:r>
          </w:p>
        </w:tc>
      </w:tr>
      <w:tr>
        <w:trPr>
          <w:trHeight w:val="218"/>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deals ACV</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36,562</w:t>
            </w:r>
          </w:p>
        </w:tc>
      </w:tr>
      <w:tr>
        <w:trPr>
          <w:trHeight w:val="213"/>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Conversion ACV</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18,570</w:t>
            </w:r>
          </w:p>
        </w:tc>
      </w:tr>
      <w:tr>
        <w:trPr>
          <w:trHeight w:val="219"/>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New SaaS ACV - unbundled SaaS component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12,706</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SaaS ARR</w:t>
      </w:r>
    </w:p>
    <w:p>
      <w:pPr>
        <w:spacing w:after="0" w:line="70"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October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SaaS ARR</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570,130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512,304</w:t>
            </w:r>
          </w:p>
        </w:tc>
      </w:tr>
    </w:tbl>
    <w:p>
      <w:pPr>
        <w:sectPr>
          <w:pgSz w:w="11900" w:h="16838" w:orient="portrait"/>
          <w:cols w:equalWidth="0" w:num="1">
            <w:col w:w="11240"/>
          </w:cols>
          <w:pgMar w:left="320" w:top="89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Table 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GAAP to Non-GAAP Measures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 GAAP</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179,858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161,117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516,615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488,555</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Nonrecurring revenue - GAAP</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44,335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156,723</w:t>
            </w:r>
          </w:p>
        </w:tc>
        <w:tc>
          <w:tcPr>
            <w:tcW w:w="0" w:type="dxa"/>
            <w:vAlign w:val="bottom"/>
          </w:tcPr>
          <w:p>
            <w:pPr>
              <w:spacing w:after="0"/>
              <w:rPr>
                <w:sz w:val="1"/>
                <w:szCs w:val="1"/>
                <w:color w:val="auto"/>
              </w:rPr>
            </w:pPr>
          </w:p>
        </w:tc>
      </w:tr>
      <w:tr>
        <w:trPr>
          <w:trHeight w:val="21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GAAP revenue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224,193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218,547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655,640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645,278</w:t>
            </w:r>
          </w:p>
        </w:tc>
        <w:tc>
          <w:tcPr>
            <w:tcW w:w="0" w:type="dxa"/>
            <w:vAlign w:val="bottom"/>
          </w:tcPr>
          <w:p>
            <w:pPr>
              <w:spacing w:after="0"/>
              <w:rPr>
                <w:sz w:val="1"/>
                <w:szCs w:val="1"/>
                <w:color w:val="auto"/>
              </w:rPr>
            </w:pPr>
          </w:p>
        </w:tc>
      </w:tr>
      <w:tr>
        <w:trPr>
          <w:trHeight w:val="207"/>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 revenue adjustments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 revenue adjustments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revenue adjustments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2"/>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 non-GAAP</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489,544</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Nonrecurring revenue - non-GAAP</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44,335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156,723</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non-GAAP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224,193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218,667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655,640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646,267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 and Gross Margin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60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Borders>
              <w:bottom w:val="single" w:sz="8" w:color="auto"/>
            </w:tcBorders>
          </w:tcPr>
          <w:p>
            <w:pPr>
              <w:spacing w:after="0"/>
              <w:rPr>
                <w:sz w:val="18"/>
                <w:szCs w:val="18"/>
                <w:color w:val="auto"/>
              </w:rPr>
            </w:pPr>
          </w:p>
        </w:tc>
      </w:tr>
      <w:tr>
        <w:trPr>
          <w:trHeight w:val="21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cost of revenues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38,742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38,883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110,968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118,093</w:t>
            </w:r>
          </w:p>
        </w:tc>
      </w:tr>
      <w:tr>
        <w:trPr>
          <w:trHeight w:val="21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Nonrecurring cost of revenues</w:t>
            </w:r>
          </w:p>
        </w:tc>
        <w:tc>
          <w:tcPr>
            <w:tcW w:w="32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25,324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25,046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78,604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79,213</w:t>
            </w: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acquired technology</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5,511</w:t>
            </w:r>
          </w:p>
        </w:tc>
      </w:tr>
      <w:tr>
        <w:trPr>
          <w:trHeight w:val="208"/>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GAAP cost of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65,566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65,538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194,071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202,817</w:t>
            </w:r>
          </w:p>
        </w:tc>
      </w:tr>
      <w:tr>
        <w:trPr>
          <w:trHeight w:val="211"/>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158,627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153,009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461,569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442,461</w:t>
            </w:r>
          </w:p>
        </w:tc>
      </w:tr>
      <w:tr>
        <w:trPr>
          <w:trHeight w:val="208"/>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margin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70.8 %</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70.0 %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70.4 %</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68.6 %</w:t>
            </w:r>
          </w:p>
        </w:tc>
      </w:tr>
      <w:tr>
        <w:trPr>
          <w:trHeight w:val="211"/>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adjustments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989</w:t>
            </w:r>
          </w:p>
        </w:tc>
      </w:tr>
      <w:tr>
        <w:trPr>
          <w:trHeight w:val="21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acquired technology</w:t>
            </w:r>
          </w:p>
        </w:tc>
        <w:tc>
          <w:tcPr>
            <w:tcW w:w="32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5,511</w:t>
            </w: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2,905</w:t>
            </w:r>
          </w:p>
        </w:tc>
      </w:tr>
      <w:tr>
        <w:trPr>
          <w:trHeight w:val="21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and divestitures expenses, net</w:t>
            </w:r>
          </w:p>
        </w:tc>
        <w:tc>
          <w:tcPr>
            <w:tcW w:w="32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353</w:t>
            </w: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 (benefit)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1,447</w:t>
            </w:r>
          </w:p>
        </w:tc>
      </w:tr>
      <w:tr>
        <w:trPr>
          <w:trHeight w:val="21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161,311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155,860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471,107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453,666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71.3 %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71.9 %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70.2 %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net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00" w:type="dxa"/>
            <w:vAlign w:val="bottom"/>
            <w:gridSpan w:val="4"/>
            <w:vMerge w:val="restart"/>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research and development, net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37,736</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32,084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109,824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97,923</w:t>
            </w: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a percentage of GAAP revenue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16.8 %</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15.2 %</w:t>
            </w: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(11,104)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(8,818)</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and divestitures expenses, net</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 facilities and infrastructure realignment</w:t>
            </w: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(1,648)</w:t>
            </w:r>
          </w:p>
        </w:tc>
        <w:tc>
          <w:tcPr>
            <w:tcW w:w="0" w:type="dxa"/>
            <w:vAlign w:val="bottom"/>
          </w:tcPr>
          <w:p>
            <w:pPr>
              <w:spacing w:after="0"/>
              <w:rPr>
                <w:sz w:val="1"/>
                <w:szCs w:val="1"/>
                <w:color w:val="auto"/>
              </w:rPr>
            </w:pPr>
          </w:p>
        </w:tc>
      </w:tr>
      <w:tr>
        <w:trPr>
          <w:trHeight w:val="237"/>
        </w:trPr>
        <w:tc>
          <w:tcPr>
            <w:tcW w:w="5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research and development, net</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34,096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29,038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96,526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87,045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a percentage of non-GAAP revenue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15.2 %</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13.3 %</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14.7 %</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ectPr>
          <w:pgSz w:w="11900" w:h="16838" w:orient="portrait"/>
          <w:cols w:equalWidth="0" w:num="1">
            <w:col w:w="11240"/>
          </w:cols>
          <w:pgMar w:left="320" w:top="89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00" w:type="dxa"/>
            <w:vAlign w:val="bottom"/>
            <w:gridSpan w:val="4"/>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selling, general and administrative expenses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95,987</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87,879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282,441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297,532</w:t>
            </w: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a percentage of GAAP revenue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40.2 %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43.1 %</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46.1 %</w:t>
            </w: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(44,588)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(38,563)</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and divestitures (expenses) benefit, net</w:t>
            </w: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(5,671)</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Accelerated lease costs</w:t>
            </w: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(5,262)</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 facilities and infrastructure realignment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(16,816)</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selling, general and administrative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80,299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73,259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233,430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227,066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a percentage of non-GAAP revenue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35.8 %</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33.5 %</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35.6 %</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35.1 %</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and Operating Margin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00" w:type="dxa"/>
            <w:vAlign w:val="bottom"/>
            <w:gridSpan w:val="4"/>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21,748</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26,718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60,063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27,978</w:t>
            </w: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margin</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9.2 %</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4.3 %</w:t>
            </w: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adjustments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acquired technology</w:t>
            </w:r>
          </w:p>
        </w:tc>
        <w:tc>
          <w:tcPr>
            <w:tcW w:w="3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5,511</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other acquired intangible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19,028</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3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18,080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16,186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59,847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50,286</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divestitures expenses (benefit),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6,120</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3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5,100</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lease costs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5,262</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 facilities and infrastructure realignment</w:t>
            </w: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18,464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1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46,916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53,563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141,151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139,555</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margin</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Net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42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Borders>
              <w:bottom w:val="single" w:sz="8" w:color="auto"/>
            </w:tcBorders>
          </w:tcPr>
          <w:p>
            <w:pPr>
              <w:spacing w:after="0"/>
              <w:rPr>
                <w:sz w:val="18"/>
                <w:szCs w:val="18"/>
                <w:color w:val="auto"/>
              </w:rPr>
            </w:pPr>
          </w:p>
        </w:tc>
      </w:tr>
      <w:tr>
        <w:trPr>
          <w:trHeight w:val="21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other expense, net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(8,411)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(2,495)</w:t>
            </w:r>
          </w:p>
        </w:tc>
      </w:tr>
      <w:tr>
        <w:trPr>
          <w:trHeight w:val="21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Losses on early retirements of debt</w:t>
            </w:r>
          </w:p>
        </w:tc>
        <w:tc>
          <w:tcPr>
            <w:tcW w:w="3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9"/>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divestitures expenses, net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5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37"/>
        </w:trPr>
        <w:tc>
          <w:tcPr>
            <w:tcW w:w="5720" w:type="dxa"/>
            <w:vAlign w:val="bottom"/>
            <w:tcBorders>
              <w:bottom w:val="single" w:sz="8" w:color="CCEEFF"/>
            </w:tcBorders>
            <w:gridSpan w:val="2"/>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Non-GAAP other expense, net</w:t>
            </w:r>
            <w:r>
              <w:rPr>
                <w:rFonts w:ascii="Times New Roman" w:cs="Times New Roman" w:eastAsia="Times New Roman" w:hAnsi="Times New Roman"/>
                <w:sz w:val="21"/>
                <w:szCs w:val="21"/>
                <w:b w:val="1"/>
                <w:bCs w:val="1"/>
                <w:color w:val="auto"/>
                <w:vertAlign w:val="superscript"/>
              </w:rPr>
              <w:t>(1)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(7,958)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from) Provision for Income Taxes</w:t>
      </w:r>
    </w:p>
    <w:p>
      <w:pPr>
        <w:sectPr>
          <w:pgSz w:w="11900" w:h="16838" w:orient="portrait"/>
          <w:cols w:equalWidth="0" w:num="1">
            <w:col w:w="11240"/>
          </w:cols>
          <w:pgMar w:left="320" w:top="94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80" w:type="dxa"/>
            <w:vAlign w:val="bottom"/>
            <w:gridSpan w:val="4"/>
            <w:vMerge w:val="restart"/>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(benefit from) provision for income taxes</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(10,676)</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12,953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1,533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14,772</w:t>
            </w: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GAAP effective income tax rate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50.2 %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58.0 %</w:t>
            </w:r>
          </w:p>
        </w:tc>
        <w:tc>
          <w:tcPr>
            <w:tcW w:w="0" w:type="dxa"/>
            <w:vAlign w:val="bottom"/>
          </w:tcPr>
          <w:p>
            <w:pPr>
              <w:spacing w:after="0"/>
              <w:rPr>
                <w:sz w:val="1"/>
                <w:szCs w:val="1"/>
                <w:color w:val="auto"/>
              </w:rPr>
            </w:pPr>
          </w:p>
        </w:tc>
      </w:tr>
      <w:tr>
        <w:trPr>
          <w:trHeight w:val="208"/>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tax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14,677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(8,640)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13,724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(2,786)</w:t>
            </w:r>
          </w:p>
        </w:tc>
        <w:tc>
          <w:tcPr>
            <w:tcW w:w="0" w:type="dxa"/>
            <w:vAlign w:val="bottom"/>
          </w:tcPr>
          <w:p>
            <w:pPr>
              <w:spacing w:after="0"/>
              <w:rPr>
                <w:sz w:val="1"/>
                <w:szCs w:val="1"/>
                <w:color w:val="auto"/>
              </w:rPr>
            </w:pPr>
          </w:p>
        </w:tc>
      </w:tr>
      <w:tr>
        <w:trPr>
          <w:trHeight w:val="21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Non-GAAP provision for income taxes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4,001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4,313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15,257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11,986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effective income tax rate</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8.8 %</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(Loss) Attributable to Verint Systems Inc. Common Shares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 attributable to Verint Systems Inc. common shares</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24,716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7,412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36,208</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(5,693)</w:t>
            </w:r>
          </w:p>
        </w:tc>
        <w:tc>
          <w:tcPr>
            <w:tcW w:w="0" w:type="dxa"/>
            <w:vAlign w:val="bottom"/>
          </w:tcPr>
          <w:p>
            <w:pPr>
              <w:spacing w:after="0"/>
              <w:rPr>
                <w:sz w:val="1"/>
                <w:szCs w:val="1"/>
                <w:color w:val="auto"/>
              </w:rPr>
            </w:pPr>
          </w:p>
        </w:tc>
      </w:tr>
      <w:tr>
        <w:trPr>
          <w:trHeight w:val="207"/>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adjustments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acquired technology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other acquired intangible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19,028</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50,286</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Losses on early retirements of debt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and divestitures expenses (benefit),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lease costs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 facilities and infrastructure realignment</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18,464</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1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Non-GAAP tax adjustments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0" w:type="dxa"/>
            <w:vAlign w:val="bottom"/>
          </w:tcPr>
          <w:p>
            <w:pPr>
              <w:spacing w:after="0"/>
              <w:rPr>
                <w:sz w:val="1"/>
                <w:szCs w:val="1"/>
                <w:color w:val="auto"/>
              </w:rPr>
            </w:pPr>
          </w:p>
        </w:tc>
      </w:tr>
      <w:tr>
        <w:trPr>
          <w:trHeight w:val="219"/>
        </w:trPr>
        <w:tc>
          <w:tcPr>
            <w:tcW w:w="57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Dividends, reversed due to assumed conversion of preferred stock</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129,812</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attributable to Verint Systems Inc. common shares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39,198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47,984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117,305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124,119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Diluted Net Income (Loss) Per Common Share Attributable to Verint Systems Inc.</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4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net income (loss) per common share attributable to Verint Systems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Non-GAAP diluted net income per common share attributable to Verint Systems Inc.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60" w:type="dxa"/>
            <w:vAlign w:val="bottom"/>
            <w:gridSpan w:val="2"/>
            <w:vMerge w:val="continue"/>
          </w:tcPr>
          <w:p>
            <w:pPr>
              <w:spacing w:after="0"/>
              <w:rPr>
                <w:sz w:val="9"/>
                <w:szCs w:val="9"/>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80" w:type="dxa"/>
            <w:vAlign w:val="bottom"/>
          </w:tcPr>
          <w:p>
            <w:pPr>
              <w:spacing w:after="0"/>
              <w:rPr>
                <w:sz w:val="9"/>
                <w:szCs w:val="9"/>
                <w:color w:val="auto"/>
              </w:rPr>
            </w:pP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9"/>
                <w:szCs w:val="9"/>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9"/>
                <w:szCs w:val="9"/>
                <w:color w:val="auto"/>
              </w:rPr>
            </w:pPr>
          </w:p>
        </w:tc>
        <w:tc>
          <w:tcPr>
            <w:tcW w:w="4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140"/>
        </w:trPr>
        <w:tc>
          <w:tcPr>
            <w:tcW w:w="5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GAAP weighted-average shares used in computing diluted net income (loss) per</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62,803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64,144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62,761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64,411</w:t>
            </w:r>
          </w:p>
        </w:tc>
        <w:tc>
          <w:tcPr>
            <w:tcW w:w="0" w:type="dxa"/>
            <w:vAlign w:val="bottom"/>
          </w:tcPr>
          <w:p>
            <w:pPr>
              <w:spacing w:after="0"/>
              <w:rPr>
                <w:sz w:val="1"/>
                <w:szCs w:val="1"/>
                <w:color w:val="auto"/>
              </w:rPr>
            </w:pPr>
          </w:p>
        </w:tc>
      </w:tr>
      <w:tr>
        <w:trPr>
          <w:trHeight w:val="21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 share attributable to Verint Systems Inc.</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Additional weighted-average shares applicable to non-GAAP diluted net income per</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 attributable to Verint Systems Inc.</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Non-GAAP diluted weighted-average shares used in computing net income per</w:t>
            </w: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72,280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73,622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72,239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74,213</w:t>
            </w:r>
          </w:p>
        </w:tc>
        <w:tc>
          <w:tcPr>
            <w:tcW w:w="0" w:type="dxa"/>
            <w:vAlign w:val="bottom"/>
          </w:tcPr>
          <w:p>
            <w:pPr>
              <w:spacing w:after="0"/>
              <w:rPr>
                <w:sz w:val="1"/>
                <w:szCs w:val="1"/>
                <w:color w:val="auto"/>
              </w:rPr>
            </w:pPr>
          </w:p>
        </w:tc>
      </w:tr>
      <w:tr>
        <w:trPr>
          <w:trHeight w:val="189"/>
        </w:trPr>
        <w:tc>
          <w:tcPr>
            <w:tcW w:w="57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6"/>
                <w:szCs w:val="16"/>
                <w:b w:val="1"/>
                <w:bCs w:val="1"/>
                <w:color w:val="auto"/>
              </w:rPr>
              <w:t>common share attributable to Verint Systems Inc.</w:t>
            </w:r>
            <w:r>
              <w:rPr>
                <w:rFonts w:ascii="Times New Roman" w:cs="Times New Roman" w:eastAsia="Times New Roman" w:hAnsi="Times New Roman"/>
                <w:sz w:val="21"/>
                <w:szCs w:val="21"/>
                <w:b w:val="1"/>
                <w:bCs w:val="1"/>
                <w:color w:val="auto"/>
                <w:vertAlign w:val="superscript"/>
              </w:rPr>
              <w:t>(3)</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GAAP Net Income to Adjusted EBITDA</w:t>
      </w:r>
    </w:p>
    <w:p>
      <w:pPr>
        <w:sectPr>
          <w:pgSz w:w="11900" w:h="16838" w:orient="portrait"/>
          <w:cols w:equalWidth="0" w:num="1">
            <w:col w:w="11240"/>
          </w:cols>
          <w:pgMar w:left="320" w:top="94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00" w:type="dxa"/>
            <w:vAlign w:val="bottom"/>
            <w:gridSpan w:val="4"/>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29,017</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12,865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50,119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10,711</w:t>
            </w:r>
          </w:p>
        </w:tc>
        <w:tc>
          <w:tcPr>
            <w:tcW w:w="0" w:type="dxa"/>
            <w:vAlign w:val="bottom"/>
          </w:tcPr>
          <w:p>
            <w:pPr>
              <w:spacing w:after="0"/>
              <w:rPr>
                <w:sz w:val="1"/>
                <w:szCs w:val="1"/>
                <w:color w:val="auto"/>
              </w:rPr>
            </w:pPr>
          </w:p>
        </w:tc>
      </w:tr>
      <w:tr>
        <w:trPr>
          <w:trHeight w:val="20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a percentage of GAAP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1.7 %</w:t>
            </w:r>
          </w:p>
        </w:tc>
        <w:tc>
          <w:tcPr>
            <w:tcW w:w="0" w:type="dxa"/>
            <w:vAlign w:val="bottom"/>
          </w:tcPr>
          <w:p>
            <w:pPr>
              <w:spacing w:after="0"/>
              <w:rPr>
                <w:sz w:val="1"/>
                <w:szCs w:val="1"/>
                <w:color w:val="auto"/>
              </w:rPr>
            </w:pPr>
          </w:p>
        </w:tc>
      </w:tr>
      <w:tr>
        <w:trPr>
          <w:trHeight w:val="218"/>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12,953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14,772</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2,495</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Depreciation and amortization</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11,221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13,874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32,907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55,394</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adjustments</w:t>
            </w: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18,080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59,847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50,286</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and divestitures expenses (benefit), net</w:t>
            </w:r>
          </w:p>
        </w:tc>
        <w:tc>
          <w:tcPr>
            <w:tcW w:w="32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6,120</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5,007</w:t>
            </w:r>
          </w:p>
        </w:tc>
        <w:tc>
          <w:tcPr>
            <w:tcW w:w="0" w:type="dxa"/>
            <w:vAlign w:val="bottom"/>
          </w:tcPr>
          <w:p>
            <w:pPr>
              <w:spacing w:after="0"/>
              <w:rPr>
                <w:sz w:val="1"/>
                <w:szCs w:val="1"/>
                <w:color w:val="auto"/>
              </w:rPr>
            </w:pPr>
          </w:p>
        </w:tc>
      </w:tr>
      <w:tr>
        <w:trPr>
          <w:trHeight w:val="2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Accelerated lease costs</w:t>
            </w:r>
          </w:p>
        </w:tc>
        <w:tc>
          <w:tcPr>
            <w:tcW w:w="3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5,262</w:t>
            </w:r>
          </w:p>
        </w:tc>
        <w:tc>
          <w:tcPr>
            <w:tcW w:w="0" w:type="dxa"/>
            <w:vAlign w:val="bottom"/>
          </w:tcPr>
          <w:p>
            <w:pPr>
              <w:spacing w:after="0"/>
              <w:rPr>
                <w:sz w:val="1"/>
                <w:szCs w:val="1"/>
                <w:color w:val="auto"/>
              </w:rPr>
            </w:pPr>
          </w:p>
        </w:tc>
      </w:tr>
      <w:tr>
        <w:trPr>
          <w:trHeight w:val="21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IT facilities and infrastructure realignment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6,657</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53,468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59,236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160,297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158,510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a percentage of non-GAAP revenue</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23.8 %</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27.1 %</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24.4 %</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24.5 %</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Debt to Net Debt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180" w:type="dxa"/>
            <w:vAlign w:val="bottom"/>
          </w:tcPr>
          <w:p>
            <w:pPr>
              <w:spacing w:after="0"/>
              <w:rPr>
                <w:sz w:val="16"/>
                <w:szCs w:val="16"/>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0" w:type="dxa"/>
            <w:vAlign w:val="bottom"/>
          </w:tcPr>
          <w:p>
            <w:pPr>
              <w:spacing w:after="0"/>
              <w:rPr>
                <w:sz w:val="1"/>
                <w:szCs w:val="1"/>
                <w:color w:val="auto"/>
              </w:rPr>
            </w:pPr>
          </w:p>
        </w:tc>
      </w:tr>
      <w:tr>
        <w:trPr>
          <w:trHeight w:val="214"/>
        </w:trPr>
        <w:tc>
          <w:tcPr>
            <w:tcW w:w="84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412,242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410,965</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Unamortized debt discounts and issuance costs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4,035</w:t>
            </w:r>
          </w:p>
        </w:tc>
        <w:tc>
          <w:tcPr>
            <w:tcW w:w="0" w:type="dxa"/>
            <w:vAlign w:val="bottom"/>
          </w:tcPr>
          <w:p>
            <w:pPr>
              <w:spacing w:after="0"/>
              <w:rPr>
                <w:sz w:val="1"/>
                <w:szCs w:val="1"/>
                <w:color w:val="auto"/>
              </w:rPr>
            </w:pPr>
          </w:p>
        </w:tc>
      </w:tr>
      <w:tr>
        <w:trPr>
          <w:trHeight w:val="23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debt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415,000</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415,000</w:t>
            </w:r>
          </w:p>
        </w:tc>
        <w:tc>
          <w:tcPr>
            <w:tcW w:w="0" w:type="dxa"/>
            <w:vAlign w:val="bottom"/>
          </w:tcPr>
          <w:p>
            <w:pPr>
              <w:spacing w:after="0"/>
              <w:rPr>
                <w:sz w:val="1"/>
                <w:szCs w:val="1"/>
                <w:color w:val="auto"/>
              </w:rPr>
            </w:pPr>
          </w:p>
        </w:tc>
      </w:tr>
      <w:tr>
        <w:trPr>
          <w:trHeight w:val="19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241,400</w:t>
            </w: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and restricted bank time deposits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08"/>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debt, excluding long-term restricted cash, cash equivalents, time deposits, and investments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230,912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171,645</w:t>
            </w:r>
          </w:p>
        </w:tc>
        <w:tc>
          <w:tcPr>
            <w:tcW w:w="0" w:type="dxa"/>
            <w:vAlign w:val="bottom"/>
          </w:tcPr>
          <w:p>
            <w:pPr>
              <w:spacing w:after="0"/>
              <w:rPr>
                <w:sz w:val="1"/>
                <w:szCs w:val="1"/>
                <w:color w:val="auto"/>
              </w:rPr>
            </w:pPr>
          </w:p>
        </w:tc>
      </w:tr>
      <w:tr>
        <w:trPr>
          <w:trHeight w:val="215"/>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restricted cash, cash equivalents, time deposits, and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2"/>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debt, including long-term restricted cash, cash equivalents, time deposits, and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230,730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171,464</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320" w:firstLine="8"/>
        <w:spacing w:after="0" w:line="280"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October 31, 2024, other expense, net of $3.4 million was comprised of $1.0 million of interest and other expense, net and $2.4 million of foreign exchange charges primarily related to balance sheet revaluations.</w:t>
      </w:r>
    </w:p>
    <w:p>
      <w:pPr>
        <w:spacing w:after="0" w:line="19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for financing fee amortization.</w:t>
      </w:r>
    </w:p>
    <w:p>
      <w:pPr>
        <w:spacing w:after="0" w:line="248" w:lineRule="exact"/>
        <w:rPr>
          <w:rFonts w:ascii="Times New Roman" w:cs="Times New Roman" w:eastAsia="Times New Roman" w:hAnsi="Times New Roman"/>
          <w:sz w:val="16"/>
          <w:szCs w:val="16"/>
          <w:color w:val="auto"/>
        </w:rPr>
      </w:pPr>
    </w:p>
    <w:p>
      <w:pPr>
        <w:ind w:right="300" w:firstLine="8"/>
        <w:spacing w:after="0" w:line="263"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EPS calculation includes the more dilutive of either preferred stock dividends or conversion of preferred stock shares. Conversion of the outstanding preferred shares was more dilutive in the three and nine months ended October 31, 2024 and 2023.</w:t>
      </w:r>
    </w:p>
    <w:p>
      <w:pPr>
        <w:sectPr>
          <w:pgSz w:w="11900" w:h="16838" w:orient="portrait"/>
          <w:cols w:equalWidth="0" w:num="1">
            <w:col w:w="11240"/>
          </w:cols>
          <w:pgMar w:left="320" w:top="947" w:right="339" w:bottom="1440" w:gutter="0" w:footer="0" w:header="0"/>
        </w:sectPr>
      </w:pPr>
    </w:p>
    <w:bookmarkStart w:id="13" w:name="page14"/>
    <w:bookmarkEnd w:id="13"/>
    <w:p>
      <w:pPr>
        <w:ind w:left="5380"/>
        <w:spacing w:after="0"/>
        <w:rPr>
          <w:sz w:val="20"/>
          <w:szCs w:val="20"/>
          <w:color w:val="auto"/>
        </w:rPr>
      </w:pPr>
      <w:r>
        <w:rPr>
          <w:rFonts w:ascii="Times New Roman" w:cs="Times New Roman" w:eastAsia="Times New Roman" w:hAnsi="Times New Roman"/>
          <w:sz w:val="16"/>
          <w:szCs w:val="16"/>
          <w:b w:val="1"/>
          <w:bCs w:val="1"/>
          <w:color w:val="auto"/>
        </w:rPr>
        <w:t>Table 4</w:t>
      </w:r>
    </w:p>
    <w:p>
      <w:pPr>
        <w:spacing w:after="0" w:line="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2"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6"/>
          <w:szCs w:val="16"/>
          <w:b w:val="1"/>
          <w:bCs w:val="1"/>
          <w:color w:val="auto"/>
        </w:rPr>
        <w:t>Quarterly Revenue of Divested Quality Managed Service Offering ("Divested Offering") Reconciliation of Non-GAAP Divestiture Revenue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162"/>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4"/>
                <w:szCs w:val="14"/>
                <w:color w:val="auto"/>
              </w:rPr>
            </w:pPr>
          </w:p>
        </w:tc>
        <w:tc>
          <w:tcPr>
            <w:tcW w:w="106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April 30,</w:t>
            </w:r>
          </w:p>
        </w:tc>
        <w:tc>
          <w:tcPr>
            <w:tcW w:w="180" w:type="dxa"/>
            <w:vAlign w:val="bottom"/>
          </w:tcPr>
          <w:p>
            <w:pPr>
              <w:spacing w:after="0"/>
              <w:rPr>
                <w:sz w:val="14"/>
                <w:szCs w:val="14"/>
                <w:color w:val="auto"/>
              </w:rPr>
            </w:pPr>
          </w:p>
        </w:tc>
        <w:tc>
          <w:tcPr>
            <w:tcW w:w="10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July 31,</w:t>
            </w:r>
          </w:p>
        </w:tc>
        <w:tc>
          <w:tcPr>
            <w:tcW w:w="120" w:type="dxa"/>
            <w:vAlign w:val="bottom"/>
          </w:tcPr>
          <w:p>
            <w:pPr>
              <w:spacing w:after="0"/>
              <w:rPr>
                <w:sz w:val="14"/>
                <w:szCs w:val="14"/>
                <w:color w:val="auto"/>
              </w:rPr>
            </w:pPr>
          </w:p>
        </w:tc>
        <w:tc>
          <w:tcPr>
            <w:tcW w:w="11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October 31,</w:t>
            </w:r>
          </w:p>
        </w:tc>
        <w:tc>
          <w:tcPr>
            <w:tcW w:w="120" w:type="dxa"/>
            <w:vAlign w:val="bottom"/>
          </w:tcPr>
          <w:p>
            <w:pPr>
              <w:spacing w:after="0"/>
              <w:rPr>
                <w:sz w:val="14"/>
                <w:szCs w:val="14"/>
                <w:color w:val="auto"/>
              </w:rPr>
            </w:pPr>
          </w:p>
        </w:tc>
        <w:tc>
          <w:tcPr>
            <w:tcW w:w="102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January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January 31,</w:t>
            </w:r>
          </w:p>
        </w:tc>
        <w:tc>
          <w:tcPr>
            <w:tcW w:w="0" w:type="dxa"/>
            <w:vAlign w:val="bottom"/>
          </w:tcPr>
          <w:p>
            <w:pPr>
              <w:spacing w:after="0"/>
              <w:rPr>
                <w:sz w:val="1"/>
                <w:szCs w:val="1"/>
                <w:color w:val="auto"/>
              </w:rPr>
            </w:pPr>
          </w:p>
        </w:tc>
      </w:tr>
      <w:tr>
        <w:trPr>
          <w:trHeight w:val="214"/>
        </w:trPr>
        <w:tc>
          <w:tcPr>
            <w:tcW w:w="5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1"/>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GAAP revenue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216,566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210,165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218,547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265,109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910,387</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Revenue from divested offering</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25,248</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GAAP revenue without divested offering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209,807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203,736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212,433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259,163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885,139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non-GAAP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217,193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210,407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911,487</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Revenue from divested offering</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25,248</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non-GAAP revenue without divested offering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210,434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203,978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212,553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259,274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886,239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0" w:right="339" w:bottom="1440" w:gutter="0" w:footer="0" w:header="0"/>
        </w:sectPr>
      </w:pPr>
    </w:p>
    <w:bookmarkStart w:id="14" w:name="page15"/>
    <w:bookmarkEnd w:id="14"/>
    <w:p>
      <w:pPr>
        <w:ind w:left="5380"/>
        <w:spacing w:after="0"/>
        <w:rPr>
          <w:sz w:val="20"/>
          <w:szCs w:val="20"/>
          <w:color w:val="auto"/>
        </w:rPr>
      </w:pPr>
      <w:r>
        <w:rPr>
          <w:rFonts w:ascii="Times New Roman" w:cs="Times New Roman" w:eastAsia="Times New Roman" w:hAnsi="Times New Roman"/>
          <w:sz w:val="16"/>
          <w:szCs w:val="16"/>
          <w:b w:val="1"/>
          <w:bCs w:val="1"/>
          <w:color w:val="auto"/>
        </w:rPr>
        <w:t>Table 5</w:t>
      </w:r>
    </w:p>
    <w:p>
      <w:pPr>
        <w:spacing w:after="0" w:line="2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GAAP to Non-GAAP Recurring and Nonrecurring Gross Profit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Recurring and Nonrecurring 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40" w:type="dxa"/>
            <w:vAlign w:val="bottom"/>
            <w:gridSpan w:val="4"/>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Recurring revenue: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Bundled SaaS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75,220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63,251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212,508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184,770</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Unbundled SaaS revenue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161,470</w:t>
            </w: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SaaS revenue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148,662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115,651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420,749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346,240</w:t>
            </w:r>
          </w:p>
        </w:tc>
        <w:tc>
          <w:tcPr>
            <w:tcW w:w="0" w:type="dxa"/>
            <w:vAlign w:val="bottom"/>
          </w:tcPr>
          <w:p>
            <w:pPr>
              <w:spacing w:after="0"/>
              <w:rPr>
                <w:sz w:val="1"/>
                <w:szCs w:val="1"/>
                <w:color w:val="auto"/>
              </w:rPr>
            </w:pPr>
          </w:p>
        </w:tc>
      </w:tr>
      <w:tr>
        <w:trPr>
          <w:trHeight w:val="211"/>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Optional managed services revenue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36,872</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Support revenue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25,457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105,443</w:t>
            </w:r>
          </w:p>
        </w:tc>
        <w:tc>
          <w:tcPr>
            <w:tcW w:w="0" w:type="dxa"/>
            <w:vAlign w:val="bottom"/>
          </w:tcPr>
          <w:p>
            <w:pPr>
              <w:spacing w:after="0"/>
              <w:rPr>
                <w:sz w:val="1"/>
                <w:szCs w:val="1"/>
                <w:color w:val="auto"/>
              </w:rPr>
            </w:pPr>
          </w:p>
        </w:tc>
      </w:tr>
      <w:tr>
        <w:trPr>
          <w:trHeight w:val="212"/>
        </w:trPr>
        <w:tc>
          <w:tcPr>
            <w:tcW w:w="5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recurring revenue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179,858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161,117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516,615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488,555</w:t>
            </w:r>
          </w:p>
        </w:tc>
        <w:tc>
          <w:tcPr>
            <w:tcW w:w="0" w:type="dxa"/>
            <w:vAlign w:val="bottom"/>
          </w:tcPr>
          <w:p>
            <w:pPr>
              <w:spacing w:after="0"/>
              <w:rPr>
                <w:sz w:val="1"/>
                <w:szCs w:val="1"/>
                <w:color w:val="auto"/>
              </w:rPr>
            </w:pPr>
          </w:p>
        </w:tc>
      </w:tr>
      <w:tr>
        <w:trPr>
          <w:trHeight w:val="19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Nonrecurring revenue:</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Perpetual revenue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74,103</w:t>
            </w:r>
          </w:p>
        </w:tc>
        <w:tc>
          <w:tcPr>
            <w:tcW w:w="0" w:type="dxa"/>
            <w:vAlign w:val="bottom"/>
          </w:tcPr>
          <w:p>
            <w:pPr>
              <w:spacing w:after="0"/>
              <w:rPr>
                <w:sz w:val="1"/>
                <w:szCs w:val="1"/>
                <w:color w:val="auto"/>
              </w:rPr>
            </w:pPr>
          </w:p>
        </w:tc>
      </w:tr>
      <w:tr>
        <w:trPr>
          <w:trHeight w:val="213"/>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 and other revenue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82,620</w:t>
            </w:r>
          </w:p>
        </w:tc>
        <w:tc>
          <w:tcPr>
            <w:tcW w:w="0" w:type="dxa"/>
            <w:vAlign w:val="bottom"/>
          </w:tcPr>
          <w:p>
            <w:pPr>
              <w:spacing w:after="0"/>
              <w:rPr>
                <w:sz w:val="1"/>
                <w:szCs w:val="1"/>
                <w:color w:val="auto"/>
              </w:rPr>
            </w:pPr>
          </w:p>
        </w:tc>
      </w:tr>
      <w:tr>
        <w:trPr>
          <w:trHeight w:val="210"/>
        </w:trPr>
        <w:tc>
          <w:tcPr>
            <w:tcW w:w="5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nonrecurring revenue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44,335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139,025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156,723</w:t>
            </w:r>
          </w:p>
        </w:tc>
        <w:tc>
          <w:tcPr>
            <w:tcW w:w="0" w:type="dxa"/>
            <w:vAlign w:val="bottom"/>
          </w:tcPr>
          <w:p>
            <w:pPr>
              <w:spacing w:after="0"/>
              <w:rPr>
                <w:sz w:val="1"/>
                <w:szCs w:val="1"/>
                <w:color w:val="auto"/>
              </w:rPr>
            </w:pPr>
          </w:p>
        </w:tc>
      </w:tr>
      <w:tr>
        <w:trPr>
          <w:trHeight w:val="211"/>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224,193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218,547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655,640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645,278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Recurring Gross Profit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00" w:type="dxa"/>
            <w:vAlign w:val="bottom"/>
            <w:gridSpan w:val="4"/>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recurring revenue</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179,858</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161,117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516,615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488,555</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GAAP recurring cost of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38,742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38,883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110,968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118,093</w:t>
            </w:r>
          </w:p>
        </w:tc>
        <w:tc>
          <w:tcPr>
            <w:tcW w:w="0" w:type="dxa"/>
            <w:vAlign w:val="bottom"/>
          </w:tcPr>
          <w:p>
            <w:pPr>
              <w:spacing w:after="0"/>
              <w:rPr>
                <w:sz w:val="1"/>
                <w:szCs w:val="1"/>
                <w:color w:val="auto"/>
              </w:rPr>
            </w:pPr>
          </w:p>
        </w:tc>
      </w:tr>
      <w:tr>
        <w:trPr>
          <w:trHeight w:val="212"/>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recurring 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141,116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122,234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405,647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370,462</w:t>
            </w:r>
          </w:p>
        </w:tc>
        <w:tc>
          <w:tcPr>
            <w:tcW w:w="0" w:type="dxa"/>
            <w:vAlign w:val="bottom"/>
          </w:tcPr>
          <w:p>
            <w:pPr>
              <w:spacing w:after="0"/>
              <w:rPr>
                <w:sz w:val="1"/>
                <w:szCs w:val="1"/>
                <w:color w:val="auto"/>
              </w:rPr>
            </w:pPr>
          </w:p>
        </w:tc>
      </w:tr>
      <w:tr>
        <w:trPr>
          <w:trHeight w:val="208"/>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GAAP recurring gross margin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78.5 %</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75.9 %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78.5 %</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75.8 %</w:t>
            </w: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 revenue adjustments</w:t>
            </w:r>
          </w:p>
        </w:tc>
        <w:tc>
          <w:tcPr>
            <w:tcW w:w="3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stock-based compensation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1,505</w:t>
            </w:r>
          </w:p>
        </w:tc>
        <w:tc>
          <w:tcPr>
            <w:tcW w:w="0" w:type="dxa"/>
            <w:vAlign w:val="bottom"/>
          </w:tcPr>
          <w:p>
            <w:pPr>
              <w:spacing w:after="0"/>
              <w:rPr>
                <w:sz w:val="1"/>
                <w:szCs w:val="1"/>
                <w:color w:val="auto"/>
              </w:rPr>
            </w:pPr>
          </w:p>
        </w:tc>
      </w:tr>
      <w:tr>
        <w:trPr>
          <w:trHeight w:val="21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 acquisition and divestitures expenses, net</w:t>
            </w:r>
          </w:p>
        </w:tc>
        <w:tc>
          <w:tcPr>
            <w:tcW w:w="32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restructuring expenses (benefit)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Non-GAAP recurring gross profit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141,716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122,894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407,945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374,242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recurring gross margin</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78.8 %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79.0 %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Nonrecurring Gross Profit</w:t>
      </w:r>
    </w:p>
    <w:p>
      <w:pPr>
        <w:sectPr>
          <w:pgSz w:w="11900" w:h="16838" w:orient="portrait"/>
          <w:cols w:equalWidth="0" w:num="1">
            <w:col w:w="11240"/>
          </w:cols>
          <w:pgMar w:left="320" w:top="88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620" w:type="dxa"/>
            <w:vAlign w:val="bottom"/>
            <w:gridSpan w:val="4"/>
            <w:vMerge w:val="restart"/>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9"/>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nonrecurring revenue</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44,335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57,430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139,025</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156,723</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GAAP nonrecurring cost of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25,324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25,046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78,604</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79,213</w:t>
            </w:r>
          </w:p>
        </w:tc>
        <w:tc>
          <w:tcPr>
            <w:tcW w:w="0" w:type="dxa"/>
            <w:vAlign w:val="bottom"/>
          </w:tcPr>
          <w:p>
            <w:pPr>
              <w:spacing w:after="0"/>
              <w:rPr>
                <w:sz w:val="1"/>
                <w:szCs w:val="1"/>
                <w:color w:val="auto"/>
              </w:rPr>
            </w:pPr>
          </w:p>
        </w:tc>
      </w:tr>
      <w:tr>
        <w:trPr>
          <w:trHeight w:val="212"/>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nonrecurring 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19,011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32,384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60,421</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77,510</w:t>
            </w:r>
          </w:p>
        </w:tc>
        <w:tc>
          <w:tcPr>
            <w:tcW w:w="0" w:type="dxa"/>
            <w:vAlign w:val="bottom"/>
          </w:tcPr>
          <w:p>
            <w:pPr>
              <w:spacing w:after="0"/>
              <w:rPr>
                <w:sz w:val="1"/>
                <w:szCs w:val="1"/>
                <w:color w:val="auto"/>
              </w:rPr>
            </w:pPr>
          </w:p>
        </w:tc>
      </w:tr>
      <w:tr>
        <w:trPr>
          <w:trHeight w:val="208"/>
        </w:trPr>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GAAP nonrecurring gross margin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42.9 %</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56.4 %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43.5 %</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49.5 %</w:t>
            </w: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Nonrecurring stock-based compensation expenses</w:t>
            </w:r>
          </w:p>
        </w:tc>
        <w:tc>
          <w:tcPr>
            <w:tcW w:w="32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Nonrecurring restructuring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12"/>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nonrecurring gross profit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19,595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32,966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63,162</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79,424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nonrecurring gross margin</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44.2 %</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45.4 %</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4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Table 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Calculation of Change in Revenue on a Constant Currency Basis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6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GAAP Revenue</w:t>
            </w:r>
            <w:r>
              <w:rPr>
                <w:rFonts w:ascii="Times New Roman" w:cs="Times New Roman" w:eastAsia="Times New Roman" w:hAnsi="Times New Roman"/>
                <w:sz w:val="21"/>
                <w:szCs w:val="21"/>
                <w:b w:val="1"/>
                <w:bCs w:val="1"/>
                <w:color w:val="auto"/>
                <w:vertAlign w:val="superscript"/>
              </w:rPr>
              <w:t>(2)</w:t>
            </w:r>
          </w:p>
        </w:tc>
        <w:tc>
          <w:tcPr>
            <w:tcW w:w="160" w:type="dxa"/>
            <w:vAlign w:val="bottom"/>
          </w:tcPr>
          <w:p>
            <w:pPr>
              <w:spacing w:after="0"/>
              <w:rPr>
                <w:sz w:val="21"/>
                <w:szCs w:val="21"/>
                <w:color w:val="auto"/>
              </w:rPr>
            </w:pPr>
          </w:p>
        </w:tc>
        <w:tc>
          <w:tcPr>
            <w:tcW w:w="27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Non-GAAP Revenue</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155"/>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79"/>
              <w:spacing w:after="0" w:line="155" w:lineRule="exact"/>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6"/>
                <w:szCs w:val="16"/>
                <w:b w:val="1"/>
                <w:bCs w:val="1"/>
                <w:color w:val="auto"/>
              </w:rPr>
              <w:t>Nine Months</w:t>
            </w:r>
          </w:p>
        </w:tc>
        <w:tc>
          <w:tcPr>
            <w:tcW w:w="0" w:type="dxa"/>
            <w:vAlign w:val="bottom"/>
          </w:tcPr>
          <w:p>
            <w:pPr>
              <w:spacing w:after="0"/>
              <w:rPr>
                <w:sz w:val="1"/>
                <w:szCs w:val="1"/>
                <w:color w:val="auto"/>
              </w:rPr>
            </w:pPr>
          </w:p>
        </w:tc>
      </w:tr>
      <w:tr>
        <w:trPr>
          <w:trHeight w:val="214"/>
        </w:trPr>
        <w:tc>
          <w:tcPr>
            <w:tcW w:w="5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8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11"/>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for the three and nine months ended October 31, 2023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218,547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645,278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218,667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646,267</w:t>
            </w: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for the three and nine months ended October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224,193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655,640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224,193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655,640</w:t>
            </w:r>
          </w:p>
        </w:tc>
        <w:tc>
          <w:tcPr>
            <w:tcW w:w="0" w:type="dxa"/>
            <w:vAlign w:val="bottom"/>
          </w:tcPr>
          <w:p>
            <w:pPr>
              <w:spacing w:after="0"/>
              <w:rPr>
                <w:sz w:val="1"/>
                <w:szCs w:val="1"/>
                <w:color w:val="auto"/>
              </w:rPr>
            </w:pPr>
          </w:p>
        </w:tc>
      </w:tr>
      <w:tr>
        <w:trPr>
          <w:trHeight w:val="165"/>
        </w:trPr>
        <w:tc>
          <w:tcPr>
            <w:tcW w:w="530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Revenue for the three and nine months ended October 31, 2024 at constant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654,000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654,000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currency</w:t>
            </w:r>
            <w:r>
              <w:rPr>
                <w:rFonts w:ascii="Times New Roman" w:cs="Times New Roman" w:eastAsia="Times New Roman" w:hAnsi="Times New Roman"/>
                <w:sz w:val="21"/>
                <w:szCs w:val="21"/>
                <w:color w:val="auto"/>
                <w:vertAlign w:val="superscript"/>
              </w:rPr>
              <w:t>(1)</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Reported period-over-period revenue growth</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impact from change in foreign currency exchange rates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Constant currency period-over-period revenue growth</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right="260" w:firstLine="8"/>
        <w:spacing w:after="0" w:line="272"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for the three and nine months ended October 31, 2024 at constant currency is calculated by translating current-period GAAP or non-GAAP foreign currency revenue (as applicable) into U.S. dollars using average foreign currency exchange rates for the three and nine months ended October 31, 2023 rather than actual current-period foreign currency exchange rates.</w:t>
      </w:r>
    </w:p>
    <w:p>
      <w:pPr>
        <w:spacing w:after="0" w:line="184" w:lineRule="exact"/>
        <w:rPr>
          <w:rFonts w:ascii="Times New Roman" w:cs="Times New Roman" w:eastAsia="Times New Roman" w:hAnsi="Times New Roman"/>
          <w:sz w:val="16"/>
          <w:szCs w:val="16"/>
          <w:color w:val="auto"/>
        </w:rPr>
      </w:pPr>
    </w:p>
    <w:p>
      <w:pPr>
        <w:ind w:right="20" w:firstLine="8"/>
        <w:spacing w:after="0" w:line="246"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revenue denominated in non-U.S. dollars was 19% and 20% of our total GAAP revenue for each of the three months ended October 31, 2024 and 2023, respectively. Our combined GAAP cost of revenue and operating expenses denominated in non-U.S. dollars was 32% of our total combined GAAP cost of revenue and operating expenses for the three months ended October 31, 2024 and 2023. GAAP revenue denominated in non-U.S. dollars was 20% and 21% of our total GAAP revenue for the nine months ended October 31, 2024 and 2023, respectively. Our combined GAAP cost of revenue and operating expenses denominated in non-U.S. dollars was 32% and 31% of our total combined GAAP cost of revenue and operating expenses for the nine months ended October 31, 2024 and 2023, respectively</w:t>
      </w:r>
    </w:p>
    <w:p>
      <w:pPr>
        <w:spacing w:after="0" w:line="218" w:lineRule="exact"/>
        <w:rPr>
          <w:rFonts w:ascii="Times New Roman" w:cs="Times New Roman" w:eastAsia="Times New Roman" w:hAnsi="Times New Roman"/>
          <w:sz w:val="16"/>
          <w:szCs w:val="16"/>
          <w:color w:val="auto"/>
        </w:rPr>
      </w:pPr>
    </w:p>
    <w:p>
      <w:pPr>
        <w:ind w:firstLine="8"/>
        <w:spacing w:after="0" w:line="242"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revenue denominated in non-U.S. dollars was 19% and 20% of our total non-GAAP revenue for each of the three months ended October 31, 2024 and 2023, respectively. Our combined non-GAAP cost of revenue and operating expenses denominated in non-U.S. dollars was 34% and 36% of our total combined non-GAAP cost of revenue and operating expenses for the three months ended October 31, 2024 and 2023, respectively. Non-GAAP revenue denominated in non-U.S. dollars was 20% and 21% of our total non-GAAP revenue for the nine months ended October 31, 2024 and 2023, respectively. Our combined non-GAAP cost of revenue and operating expenses denominated in non-U.S. dollars was 35% of our total combined non-GAAP cost of revenue and operating expenses for each of the nine months ended October 31,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see "Supplemental Information About Constant Currency" at the end of this press release.</w:t>
      </w:r>
    </w:p>
    <w:p>
      <w:pPr>
        <w:sectPr>
          <w:pgSz w:w="11900" w:h="16838" w:orient="portrait"/>
          <w:cols w:equalWidth="0" w:num="1">
            <w:col w:w="11240"/>
          </w:cols>
          <w:pgMar w:left="320" w:top="893" w:right="3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7</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16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January 31,</w:t>
            </w:r>
          </w:p>
        </w:tc>
      </w:tr>
      <w:tr>
        <w:trPr>
          <w:trHeight w:val="21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8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241,400</w:t>
            </w:r>
          </w:p>
        </w:tc>
      </w:tr>
      <w:tr>
        <w:trPr>
          <w:trHeight w:val="21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$1.5 million and $1.2 million, respectively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190,461</w:t>
            </w:r>
          </w:p>
        </w:tc>
      </w:tr>
      <w:tr>
        <w:trPr>
          <w:trHeight w:val="21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Contract assets, net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66,913</w:t>
            </w:r>
          </w:p>
        </w:tc>
      </w:tr>
      <w:tr>
        <w:trPr>
          <w:trHeight w:val="21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14,209</w:t>
            </w:r>
          </w:p>
        </w:tc>
      </w:tr>
      <w:tr>
        <w:trPr>
          <w:trHeight w:val="21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510,290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573,174</w:t>
            </w:r>
          </w:p>
        </w:tc>
        <w:tc>
          <w:tcPr>
            <w:tcW w:w="0" w:type="dxa"/>
            <w:vAlign w:val="bottom"/>
          </w:tcPr>
          <w:p>
            <w:pPr>
              <w:spacing w:after="0"/>
              <w:rPr>
                <w:sz w:val="1"/>
                <w:szCs w:val="1"/>
                <w:color w:val="auto"/>
              </w:rPr>
            </w:pPr>
          </w:p>
        </w:tc>
      </w:tr>
      <w:tr>
        <w:trPr>
          <w:trHeight w:val="20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47,704</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30,118</w:t>
            </w:r>
          </w:p>
        </w:tc>
        <w:tc>
          <w:tcPr>
            <w:tcW w:w="0" w:type="dxa"/>
            <w:vAlign w:val="bottom"/>
          </w:tcPr>
          <w:p>
            <w:pPr>
              <w:spacing w:after="0"/>
              <w:rPr>
                <w:sz w:val="1"/>
                <w:szCs w:val="1"/>
                <w:color w:val="auto"/>
              </w:rPr>
            </w:pP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1,404,806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1,352,715</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57,466</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171,131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165,247</w:t>
            </w:r>
          </w:p>
        </w:tc>
        <w:tc>
          <w:tcPr>
            <w:tcW w:w="0" w:type="dxa"/>
            <w:vAlign w:val="bottom"/>
          </w:tcPr>
          <w:p>
            <w:pPr>
              <w:spacing w:after="0"/>
              <w:rPr>
                <w:sz w:val="1"/>
                <w:szCs w:val="1"/>
                <w:color w:val="auto"/>
              </w:rPr>
            </w:pPr>
          </w:p>
        </w:tc>
      </w:tr>
      <w:tr>
        <w:trPr>
          <w:trHeight w:val="237"/>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2,248,319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2,226,424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Temporary Equity, and Stockholders' Equity</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26,301</w:t>
            </w:r>
          </w:p>
        </w:tc>
        <w:tc>
          <w:tcPr>
            <w:tcW w:w="0" w:type="dxa"/>
            <w:vAlign w:val="bottom"/>
          </w:tcPr>
          <w:p>
            <w:pPr>
              <w:spacing w:after="0"/>
              <w:rPr>
                <w:sz w:val="1"/>
                <w:szCs w:val="1"/>
                <w:color w:val="auto"/>
              </w:rPr>
            </w:pP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137,433</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254,437</w:t>
            </w:r>
          </w:p>
        </w:tc>
        <w:tc>
          <w:tcPr>
            <w:tcW w:w="0" w:type="dxa"/>
            <w:vAlign w:val="bottom"/>
          </w:tcPr>
          <w:p>
            <w:pPr>
              <w:spacing w:after="0"/>
              <w:rPr>
                <w:sz w:val="1"/>
                <w:szCs w:val="1"/>
                <w:color w:val="auto"/>
              </w:rPr>
            </w:pPr>
          </w:p>
        </w:tc>
      </w:tr>
      <w:tr>
        <w:trPr>
          <w:trHeight w:val="208"/>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386,980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418,171</w:t>
            </w:r>
          </w:p>
        </w:tc>
        <w:tc>
          <w:tcPr>
            <w:tcW w:w="0" w:type="dxa"/>
            <w:vAlign w:val="bottom"/>
          </w:tcPr>
          <w:p>
            <w:pPr>
              <w:spacing w:after="0"/>
              <w:rPr>
                <w:sz w:val="1"/>
                <w:szCs w:val="1"/>
                <w:color w:val="auto"/>
              </w:rPr>
            </w:pPr>
          </w:p>
        </w:tc>
      </w:tr>
      <w:tr>
        <w:trPr>
          <w:trHeight w:val="21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410,965</w:t>
            </w:r>
          </w:p>
        </w:tc>
        <w:tc>
          <w:tcPr>
            <w:tcW w:w="0" w:type="dxa"/>
            <w:vAlign w:val="bottom"/>
          </w:tcPr>
          <w:p>
            <w:pPr>
              <w:spacing w:after="0"/>
              <w:rPr>
                <w:sz w:val="1"/>
                <w:szCs w:val="1"/>
                <w:color w:val="auto"/>
              </w:rPr>
            </w:pP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32,100</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85,620</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930,181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957,437</w:t>
            </w:r>
          </w:p>
        </w:tc>
        <w:tc>
          <w:tcPr>
            <w:tcW w:w="0" w:type="dxa"/>
            <w:vAlign w:val="bottom"/>
          </w:tcPr>
          <w:p>
            <w:pPr>
              <w:spacing w:after="0"/>
              <w:rPr>
                <w:sz w:val="1"/>
                <w:szCs w:val="1"/>
                <w:color w:val="auto"/>
              </w:rPr>
            </w:pPr>
          </w:p>
        </w:tc>
      </w:tr>
      <w:tr>
        <w:trPr>
          <w:trHeight w:val="19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Temporary Equity:</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Preferred Stock </w:t>
            </w:r>
            <w:r>
              <w:rPr>
                <w:rFonts w:ascii="Times New Roman" w:cs="Times New Roman" w:eastAsia="Times New Roman" w:hAnsi="Times New Roman"/>
                <w:sz w:val="16"/>
                <w:szCs w:val="16"/>
                <w:color w:val="auto"/>
              </w:rPr>
              <w:t>— $0.001 par value; authorized 2,207,000 shares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3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Series A Preferred Stock; 200,000 shares issued and outstanding at October 31, 2024 and January 31, 2024, respectively;</w:t>
            </w: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aggregate liquidation preference and redemption value of $202,667 and $206,067 at October 31, 2024 and January 31, 2024,</w:t>
            </w:r>
          </w:p>
        </w:tc>
        <w:tc>
          <w:tcPr>
            <w:tcW w:w="3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200,628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200,628</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3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Preferred Stock; 200,000 shares issued and outstanding at October 31, 2024 and January 31, 2024, respectively;</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aggregate liquidation preference and redemption value of $202,667 and $206,067 at October 31, 2024 and January 31, 2024,</w:t>
            </w:r>
          </w:p>
        </w:tc>
        <w:tc>
          <w:tcPr>
            <w:tcW w:w="3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235,693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235,693</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temporary equity</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436,321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436,321</w:t>
            </w:r>
          </w:p>
        </w:tc>
        <w:tc>
          <w:tcPr>
            <w:tcW w:w="0" w:type="dxa"/>
            <w:vAlign w:val="bottom"/>
          </w:tcPr>
          <w:p>
            <w:pPr>
              <w:spacing w:after="0"/>
              <w:rPr>
                <w:sz w:val="1"/>
                <w:szCs w:val="1"/>
                <w:color w:val="auto"/>
              </w:rPr>
            </w:pPr>
          </w:p>
        </w:tc>
      </w:tr>
      <w:tr>
        <w:trPr>
          <w:trHeight w:val="19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3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Common stock — $0.001 par value; authorized 240,000,000 shares; issued 62,285,000 and 62,738,000 shares; outstanding</w:t>
            </w:r>
          </w:p>
        </w:tc>
        <w:tc>
          <w:tcPr>
            <w:tcW w:w="3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62,285,000 and 62,738,000 shares at October 31, 2024 and January 31, 2024, respectively.</w:t>
            </w:r>
          </w:p>
        </w:tc>
        <w:tc>
          <w:tcPr>
            <w:tcW w:w="3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979,671</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(134,652)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(142,962)</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Verint Systems Inc. stockholders' equity</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879,081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830,049</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0" w:type="dxa"/>
            <w:vAlign w:val="bottom"/>
          </w:tcPr>
          <w:p>
            <w:pPr>
              <w:spacing w:after="0"/>
              <w:rPr>
                <w:sz w:val="1"/>
                <w:szCs w:val="1"/>
                <w:color w:val="auto"/>
              </w:rPr>
            </w:pPr>
          </w:p>
        </w:tc>
      </w:tr>
      <w:tr>
        <w:trPr>
          <w:trHeight w:val="21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881,817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832,666</w:t>
            </w:r>
          </w:p>
        </w:tc>
        <w:tc>
          <w:tcPr>
            <w:tcW w:w="0" w:type="dxa"/>
            <w:vAlign w:val="bottom"/>
          </w:tcPr>
          <w:p>
            <w:pPr>
              <w:spacing w:after="0"/>
              <w:rPr>
                <w:sz w:val="1"/>
                <w:szCs w:val="1"/>
                <w:color w:val="auto"/>
              </w:rPr>
            </w:pPr>
          </w:p>
        </w:tc>
      </w:tr>
      <w:tr>
        <w:trPr>
          <w:trHeight w:val="211"/>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temporary equity, and stockholders' equity</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2,248,319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2,226,424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420" w:top="893" w:right="4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Table 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VERINT SYSTEMS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880" w:type="dxa"/>
            <w:vAlign w:val="bottom"/>
            <w:tcBorders>
              <w:bottom w:val="single" w:sz="8" w:color="auto"/>
            </w:tcBorders>
          </w:tcPr>
          <w:p>
            <w:pPr>
              <w:spacing w:after="0"/>
              <w:rPr>
                <w:sz w:val="18"/>
                <w:szCs w:val="18"/>
                <w:color w:val="auto"/>
              </w:rPr>
            </w:pPr>
          </w:p>
        </w:tc>
      </w:tr>
      <w:tr>
        <w:trPr>
          <w:trHeight w:val="211"/>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57,287</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excluding cash-settled awards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50,286</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Losses on early retirements of debt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r>
      <w:tr>
        <w:trPr>
          <w:trHeight w:val="214"/>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 net of effects of business combinations and divestitures: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13,545</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9,943</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32,609</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(50,080)</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(39,299)</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r>
      <w:tr>
        <w:trPr>
          <w:trHeight w:val="213"/>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(10,609)</w:t>
            </w:r>
          </w:p>
        </w:tc>
      </w:tr>
      <w:tr>
        <w:trPr>
          <w:trHeight w:val="21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98,227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81,679</w:t>
            </w:r>
          </w:p>
        </w:tc>
      </w:tr>
      <w:tr>
        <w:trPr>
          <w:trHeight w:val="198"/>
        </w:trPr>
        <w:tc>
          <w:tcPr>
            <w:tcW w:w="8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asset acquisitions and business combinations, including adjustments, net of cash acquired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Divestitures, net of cash divested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(12,839)</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Maturities and sales of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capitalized software development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w:t>
            </w:r>
          </w:p>
        </w:tc>
      </w:tr>
      <w:tr>
        <w:trPr>
          <w:trHeight w:val="213"/>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Change in restricted bank time deposits, and other investing activities,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1"/>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(74,007)</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(24,333)</w:t>
            </w:r>
          </w:p>
        </w:tc>
      </w:tr>
      <w:tr>
        <w:trPr>
          <w:trHeight w:val="198"/>
        </w:trPr>
        <w:tc>
          <w:tcPr>
            <w:tcW w:w="8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borrowings</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borrowings and other financing obligations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(102,430)</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treasury stock and common stock for retirement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(99,263)</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contingent consideration for business combinations (financing portion)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w:t>
            </w:r>
          </w:p>
        </w:tc>
      </w:tr>
      <w:tr>
        <w:trPr>
          <w:trHeight w:val="213"/>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received for contingent consideration for business divestitures (financing portion) and other financing activities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(84,383)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(127,397)</w:t>
            </w:r>
          </w:p>
        </w:tc>
      </w:tr>
      <w:tr>
        <w:trPr>
          <w:trHeight w:val="207"/>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effects on cash, cash equivalents, restricted cash, and restricted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restricted cash, and restricted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(59,360)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(70,751)</w:t>
            </w:r>
          </w:p>
        </w:tc>
      </w:tr>
      <w:tr>
        <w:trPr>
          <w:trHeight w:val="214"/>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restricted cash, and restricted cash equivalents, beginning of period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242,669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282,161</w:t>
            </w:r>
          </w:p>
        </w:tc>
      </w:tr>
      <w:tr>
        <w:trPr>
          <w:trHeight w:val="23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restricted cash, and restricted cash equivalents,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183,309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211,410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85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Reconciliation of cash, cash equivalents, restricted cash, and restricted cash equivalents at end of period to the condensed</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6"/>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182,823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209,647</w:t>
            </w:r>
          </w:p>
        </w:tc>
      </w:tr>
      <w:tr>
        <w:trPr>
          <w:trHeight w:val="216"/>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included in prepaid expenses and 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r>
      <w:tr>
        <w:trPr>
          <w:trHeight w:val="21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restricted cash, and restricted cash equivalents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183,309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211,410</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3" w:right="3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22"/>
          <w:szCs w:val="22"/>
          <w:b w:val="1"/>
          <w:bCs w:val="1"/>
          <w:color w:val="auto"/>
        </w:rPr>
        <w:t>Verint Systems Inc. and Subsidiaries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Supplemental Information About Non-GAAP Financial Measures and Operating Metrics</w:t>
      </w:r>
    </w:p>
    <w:p>
      <w:pPr>
        <w:spacing w:after="0" w:line="20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press release contains non-GAAP financial measures, consisting of non-GAAP revenue, non-GAAP recurring revenue, non-GAAP nonrecurring revenue, non-GAAP SaaS revenue, non-GAAP bundled SaaS revenue, non-GAAP unbundled SaaS revenue, non-GAAP revenue from divested manual quality managed services, non-GAAP recurring gross profit and gross margins, non-GAAP nonrecurring gross profit and gross margins, non-GAAP gross profit and gross margins, non-GAAP research and development, net, non-GAAP selling, general and administrative expenses, non-GAAP operating income and operating margins, non-GAAP other income (expense), net, non-GAAP provision for (benefit from) income taxes and non-GAAP effective income tax rate, non-GAAP net income (loss) attributable to Verint Systems Inc. common shares, non-GAAP diluted net income (loss) per common share attributable to Verint Systems Inc., adjusted EBITDA and adjusted EBITDA as a percentage of non-GAAP revenue, net debt and constant currency measures. The tables above include a reconciliation of each non-GAAP financial measure for completed periods presented in this press release to the most directly comparable GAAP financial measure.</w:t>
      </w:r>
    </w:p>
    <w:p>
      <w:pPr>
        <w:spacing w:after="0" w:line="22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believe these non-GAAP financial measures, used in conjunction with the corresponding GAAP measures, provide investors with useful supplemental information about the financial performance of our business by:</w:t>
      </w:r>
    </w:p>
    <w:p>
      <w:pPr>
        <w:spacing w:after="0" w:line="2" w:lineRule="exact"/>
        <w:rPr>
          <w:sz w:val="20"/>
          <w:szCs w:val="20"/>
          <w:color w:val="auto"/>
        </w:rPr>
      </w:pPr>
    </w:p>
    <w:p>
      <w:pPr>
        <w:ind w:left="660" w:right="100" w:hanging="328"/>
        <w:spacing w:after="0" w:line="250"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facilitating the comparison of our financial results and business trends between periods, by excluding certain items that either can vary significantly in amount and frequency, are based upon subjective assumptions, or in certain cases are unplanned for or difficult to forecast,</w:t>
      </w:r>
    </w:p>
    <w:p>
      <w:pPr>
        <w:spacing w:after="0" w:line="1" w:lineRule="exact"/>
        <w:rPr>
          <w:rFonts w:ascii="Arial" w:cs="Arial" w:eastAsia="Arial" w:hAnsi="Arial"/>
          <w:sz w:val="18"/>
          <w:szCs w:val="18"/>
          <w:i w:val="1"/>
          <w:iCs w:val="1"/>
          <w:color w:val="auto"/>
        </w:rPr>
      </w:pPr>
    </w:p>
    <w:p>
      <w:pPr>
        <w:ind w:left="660" w:right="3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facilitating the comparison of our financial results and business trends with other technology companies who publish similar non-GAAP measures, and</w:t>
      </w:r>
    </w:p>
    <w:p>
      <w:pPr>
        <w:ind w:left="660" w:right="36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allowing investors to see and understand key supplementary metrics used by our management to run our business, including for budgeting and forecasting, resource allocation, and compensation matters.</w:t>
      </w:r>
    </w:p>
    <w:p>
      <w:pPr>
        <w:spacing w:after="0" w:line="19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We also make these non-GAAP financial measures available because a number of our investors have informed us that they find this supplemental information useful.</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Non-GAAP financial measures should not be considered in isolation, as substitutes for, or superior to, comparable GAAP financial measures. The non-GAAP financial measures we present have limitations in that they do not reflect all of the amounts associated with our results of operations as determined in accordance with GAAP, and these non-GAAP financial measures should only be used to evaluate our results of operations in conjunction with the corresponding GAAP financial measures. These non-GAAP financial measures do not represent discretionary cash available to us to invest in the growth of our business, and we may in the future incur expenses similar to or in addition to the adjustments made in these non-GAAP financial measures. Other companies may calculate similar non-GAAP financial measures differently than we do, limiting their usefulness as comparative measures.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are calculated by making the following adjustments to our GAAP financial measures: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adjustments</w:t>
      </w:r>
      <w:r>
        <w:rPr>
          <w:rFonts w:ascii="Arial" w:cs="Arial" w:eastAsia="Arial" w:hAnsi="Arial"/>
          <w:sz w:val="17"/>
          <w:szCs w:val="17"/>
          <w:color w:val="auto"/>
        </w:rPr>
        <w:t>. For acquisitions completed prior to February 1, 2023, we exclude from our non-GAAP revenue the impact of fair value</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adjustments required under previous GAAP guidance relating to SaaS services, optional managed services and customer support contracts acquired in a business acquisition, which would have otherwise been recognized on a stand-alone basis. Beginning February 1, 2023, we</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adopted accounting guidance which eliminates the fair value provision that resulted in the accounting adjustment on a prospective basis. We believe that it is useful for investors to understand the total amount of revenue that we and the acquired company would have recognized on a stand-alone basis under GAAP, absent the accounting adjustment associated with the business acquisition under prior accounting guidance. Our non-GAAP revenue also reflects certain adjustments from aligning an acquired company’s revenue recognition policies to our policies. We believe that our non-GAAP revenue measure helps management and investors understand our revenue trends and serves as a useful measure of ongoing business performance.</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Amortization of acquired technology and other acquired intangible assets. </w:t>
      </w:r>
      <w:r>
        <w:rPr>
          <w:rFonts w:ascii="Arial" w:cs="Arial" w:eastAsia="Arial" w:hAnsi="Arial"/>
          <w:sz w:val="18"/>
          <w:szCs w:val="18"/>
          <w:color w:val="auto"/>
        </w:rPr>
        <w:t>When we acquire an entity, we are required under GAAP to record</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intangible assets of the acquired entity and amortize those assets over their useful lives. We exclude the amortization of acquired intangible assets, including acquired technology, from our non-GAAP financial measures because they are inconsistent in amount and frequency and are significantly impacted by the timing and size of acquisitions. We also exclude these amounts to provide easier comparability of pre- and post-acquisition operating results.</w:t>
      </w:r>
    </w:p>
    <w:p>
      <w:pPr>
        <w:sectPr>
          <w:pgSz w:w="11900" w:h="16838" w:orient="portrait"/>
          <w:cols w:equalWidth="0" w:num="1">
            <w:col w:w="11200"/>
          </w:cols>
          <w:pgMar w:left="320" w:top="894" w:right="379" w:bottom="1440" w:gutter="0" w:footer="0" w:header="0"/>
        </w:sectPr>
      </w:pPr>
    </w:p>
    <w:bookmarkStart w:id="20" w:name="page21"/>
    <w:bookmarkEnd w:id="20"/>
    <w:p>
      <w:pPr>
        <w:ind w:right="20"/>
        <w:spacing w:after="0" w:line="255" w:lineRule="auto"/>
        <w:rPr>
          <w:sz w:val="20"/>
          <w:szCs w:val="20"/>
          <w:color w:val="auto"/>
        </w:rPr>
      </w:pPr>
      <w:r>
        <w:rPr>
          <w:rFonts w:ascii="Arial" w:cs="Arial" w:eastAsia="Arial" w:hAnsi="Arial"/>
          <w:sz w:val="18"/>
          <w:szCs w:val="18"/>
          <w:i w:val="1"/>
          <w:iCs w:val="1"/>
          <w:color w:val="auto"/>
        </w:rPr>
        <w:t xml:space="preserve">Stock-based compensation expenses. </w:t>
      </w:r>
      <w:r>
        <w:rPr>
          <w:rFonts w:ascii="Arial" w:cs="Arial" w:eastAsia="Arial" w:hAnsi="Arial"/>
          <w:sz w:val="18"/>
          <w:szCs w:val="18"/>
          <w:color w:val="auto"/>
        </w:rPr>
        <w:t>We exclude stock-based compensation expenses related to restricted stock unit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 awards, stock bonus programs, bonus share programs, and other stock-based awards from our non-GAAP financial measures. We evaluate our performance both with and without these measures because stock-based compensation is typically a non-cash expense and can vary significantly over time based on the timing, size and nature of awards granted, and is influenced in part by certain factors which are generally beyond our control, such as the volatility of the price of our common stock. In addition, measurement of stock-based compensation is subject to varying valuation methodologies and subjective assumptions, and therefore we believe that excluding stock-based compensation from our non-GAAP financial measures allows for meaningful comparisons of our current operating results to our historical operating results and to other companies in our industry.</w:t>
      </w:r>
    </w:p>
    <w:p>
      <w:pPr>
        <w:spacing w:after="0" w:line="2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i w:val="1"/>
          <w:iCs w:val="1"/>
          <w:color w:val="auto"/>
        </w:rPr>
        <w:t xml:space="preserve">Losses on early retirements of debt. </w:t>
      </w:r>
      <w:r>
        <w:rPr>
          <w:rFonts w:ascii="Arial" w:cs="Arial" w:eastAsia="Arial" w:hAnsi="Arial"/>
          <w:sz w:val="18"/>
          <w:szCs w:val="18"/>
          <w:color w:val="auto"/>
        </w:rPr>
        <w:t>We exclude from our non-GAAP financial measures losses on early retirements of debt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refinancing or repaying our debt because we believe they are not reflective of our ongoing operations.</w:t>
      </w:r>
    </w:p>
    <w:p>
      <w:pPr>
        <w:spacing w:after="0" w:line="166" w:lineRule="exact"/>
        <w:rPr>
          <w:sz w:val="20"/>
          <w:szCs w:val="20"/>
          <w:color w:val="auto"/>
        </w:rPr>
      </w:pPr>
    </w:p>
    <w:p>
      <w:pPr>
        <w:jc w:val="both"/>
        <w:ind w:right="120"/>
        <w:spacing w:after="0" w:line="252" w:lineRule="auto"/>
        <w:rPr>
          <w:sz w:val="20"/>
          <w:szCs w:val="20"/>
          <w:color w:val="auto"/>
        </w:rPr>
      </w:pPr>
      <w:r>
        <w:rPr>
          <w:rFonts w:ascii="Arial" w:cs="Arial" w:eastAsia="Arial" w:hAnsi="Arial"/>
          <w:sz w:val="17"/>
          <w:szCs w:val="17"/>
          <w:i w:val="1"/>
          <w:iCs w:val="1"/>
          <w:color w:val="auto"/>
        </w:rPr>
        <w:t xml:space="preserve">Acquisition and divestitures expenses (benefit), net. </w:t>
      </w:r>
      <w:r>
        <w:rPr>
          <w:rFonts w:ascii="Arial" w:cs="Arial" w:eastAsia="Arial" w:hAnsi="Arial"/>
          <w:sz w:val="17"/>
          <w:szCs w:val="17"/>
          <w:color w:val="auto"/>
        </w:rPr>
        <w:t>In connection with acquisition activity (including with respect to acquisitions that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consummated), we incur expenses (benefits), including legal, accounting, and other professional fees, integration costs, changes in the fair value of contingent consideration obligations, and other costs. Integration costs may consist of information technology expenses as systems are integrated across the combined entity, consulting expenses, marketing expenses, and professional fees, as well as non-cash charges to write-off or impair the value of redundant assets. In connection with divestiture activity, we exclude the gain or loss on divestiture as well as any expenses incurred, including legal, accounting, and other professional fees. We exclude these expenses from our non-GAAP financial</w:t>
      </w:r>
    </w:p>
    <w:p>
      <w:pPr>
        <w:spacing w:after="0" w:line="2"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measures because they are unpredictable, can vary based on the size and complexity of each transaction, and are unrelated to our continuing operations or to the continuing operations of the acquired businesses.</w:t>
      </w:r>
    </w:p>
    <w:p>
      <w:pPr>
        <w:spacing w:after="0" w:line="208"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i w:val="1"/>
          <w:iCs w:val="1"/>
          <w:color w:val="auto"/>
        </w:rPr>
        <w:t xml:space="preserve">Restructuring expenses (benefit). </w:t>
      </w:r>
      <w:r>
        <w:rPr>
          <w:rFonts w:ascii="Arial" w:cs="Arial" w:eastAsia="Arial" w:hAnsi="Arial"/>
          <w:sz w:val="17"/>
          <w:szCs w:val="17"/>
          <w:color w:val="auto"/>
        </w:rPr>
        <w:t>We exclude restructuring expenses (benefit) from our non-GAAP financial measures, which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termination costs, facility exit costs (except as included in accelerated lease costs and IT facilities and infrastructure realignment described below), certain professional fees, asset impairment charges (except as included in acquisition or IT facilities and infrastructure realignment), and other costs directly associated with resource realignments incurred in reaction to changing strategies or business conditions. All of these costs can vary significantly in amount and frequency based on the nature of the actions as well as the changing needs of our business and we believe that excluding them provides easier comparability of pre- and post-restructuring operating results.</w:t>
      </w:r>
    </w:p>
    <w:p>
      <w:pPr>
        <w:spacing w:after="0" w:line="20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Accelerated lease costs. </w:t>
      </w:r>
      <w:r>
        <w:rPr>
          <w:rFonts w:ascii="Arial" w:cs="Arial" w:eastAsia="Arial" w:hAnsi="Arial"/>
          <w:sz w:val="18"/>
          <w:szCs w:val="18"/>
          <w:color w:val="auto"/>
        </w:rPr>
        <w:t>We exclude from our non-GAAP financial measures accelerated facility costs and associated accelerated lease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losses on terminations, due to the early termination or abandonment of certain office leases as a result of our move to a hybrid work model because these charges are not reflective of our ongoing business and operating results.</w:t>
      </w:r>
    </w:p>
    <w:p>
      <w:pPr>
        <w:spacing w:after="0" w:line="18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i w:val="1"/>
          <w:iCs w:val="1"/>
          <w:color w:val="auto"/>
        </w:rPr>
        <w:t xml:space="preserve">IT facilities and infrastructure realignment. </w:t>
      </w:r>
      <w:r>
        <w:rPr>
          <w:rFonts w:ascii="Arial" w:cs="Arial" w:eastAsia="Arial" w:hAnsi="Arial"/>
          <w:sz w:val="18"/>
          <w:szCs w:val="18"/>
          <w:color w:val="auto"/>
        </w:rPr>
        <w:t>We exclude from our non-GAAP financial measures nonrecurring IT facilities and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realignment costs and other IT charges associated with modifying the workplace, including consolidating and/or migrating data centers and labs to the cloud, simplifying the corporate network, and one-time costs for implementing collaboration tools to enable our work from anywhere strategy, as well as asset impairment charges, accelerated depreciation and IT facility exit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Impairment charges and other adjustments. </w:t>
      </w:r>
      <w:r>
        <w:rPr>
          <w:rFonts w:ascii="Arial" w:cs="Arial" w:eastAsia="Arial" w:hAnsi="Arial"/>
          <w:sz w:val="18"/>
          <w:szCs w:val="18"/>
          <w:color w:val="auto"/>
        </w:rPr>
        <w:t>We exclude from our non-GAAP financial measures asset impairment charges (other than those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already included within restructuring, acquisition, or IT facilities and realignment activity), rent expense for redundant facilities, gains or losses on sales of property, gains or losses on settlements of certain legal matters, and certain professional fees unrelated to our ongoing</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operations, all of which are unusual in nature and can vary significantly in amount and frequency. We also exclude from our non-GAAP financial measures separation expenses incurred in connection with the spin-off of our former Cyber Intelligence Solutions business, including third-party advisory, accounting, legal, tax, consulting, and other similar services related to the separation as well as costs associated with the operational separation of the two businesses, including those related to human resources, brand management, real estate, and information technology. Separation expenses also include incremental cash income taxes related to the reorganization of legal entities and operations in order to effect the separation and other expense adjustments associated with a tax-related indemnification asset as a result of the spin-off. These costs were incremental to our normal operating expenses and were incurred solely as a result of the separation transaction.</w:t>
      </w:r>
    </w:p>
    <w:p>
      <w:pPr>
        <w:sectPr>
          <w:pgSz w:w="11900" w:h="16838" w:orient="portrait"/>
          <w:cols w:equalWidth="0" w:num="1">
            <w:col w:w="11240"/>
          </w:cols>
          <w:pgMar w:left="320" w:top="890" w:right="339" w:bottom="1440" w:gutter="0" w:footer="0" w:header="0"/>
        </w:sectPr>
      </w:pPr>
    </w:p>
    <w:bookmarkStart w:id="21" w:name="page22"/>
    <w:bookmarkEnd w:id="21"/>
    <w:p>
      <w:pPr>
        <w:spacing w:after="0" w:line="254" w:lineRule="auto"/>
        <w:rPr>
          <w:sz w:val="20"/>
          <w:szCs w:val="20"/>
          <w:color w:val="auto"/>
        </w:rPr>
      </w:pPr>
      <w:r>
        <w:rPr>
          <w:rFonts w:ascii="Arial" w:cs="Arial" w:eastAsia="Arial" w:hAnsi="Arial"/>
          <w:sz w:val="18"/>
          <w:szCs w:val="18"/>
          <w:i w:val="1"/>
          <w:iCs w:val="1"/>
          <w:color w:val="auto"/>
        </w:rPr>
        <w:t>Non-GAAP income tax adjustments</w:t>
      </w:r>
      <w:r>
        <w:rPr>
          <w:rFonts w:ascii="Arial" w:cs="Arial" w:eastAsia="Arial" w:hAnsi="Arial"/>
          <w:sz w:val="18"/>
          <w:szCs w:val="18"/>
          <w:color w:val="auto"/>
        </w:rPr>
        <w:t>. We exclude from our non-GAAP measures of net income attributable to Verint Systems Inc., our GAAP</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(benefit from) income taxes and instead include a non-GAAP provision for income taxes, determined by applying a non-GAAP effective income tax rate to our income before provision for income taxes, as adjusted for the non-GAAP items described above. The non-GAAP effective income tax rate is generally based upon the income taxes we expect to pay in the reporting year. Our GAAP effective income tax rate can vary significantly from year to year as a result of tax law changes, settlements with tax authorities, changes in the geographic mix of earnings including acquisition activity, changes in the projected realizability of deferred tax assets, and other unusual or period-specific events, all of which can vary in size and frequency. We believe that our non-GAAP effective income tax rate removes much of this variability and facilitates meaningful comparisons of operating results across periods. Our non-GAAP effective income tax rate for the year ending January 31, 2025 is currently approximately 11% and was 8% for the year ended January 31, 2024. We evaluate our non-GAAP effective income tax rate on an ongoing basis, and it can change from time to time. Our non-GAAP income tax rate can differ materially from our GAAP effective income tax 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Metrics and Operating Metrics</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Recurring revenue, on both a GAAP and non-GAAP basis, is the portion of our revenue that we believe is likely to be renewed in the future, and primarily consists of SaaS revenue, optional managed services revenue and initial and renewal post contract support.</w:t>
      </w:r>
    </w:p>
    <w:p>
      <w:pPr>
        <w:spacing w:after="0" w:line="18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Nonrecurring revenue, on both a GAAP and non-GAAP basis, primarily consists of our perpetual licenses, consulting, implementation and installation services, hardware, training and patent license royalties.</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SaaS revenue includes bundled SaaS, software with standard managed services and unbundled SaaS (including associated support) that we account for as term licenses where managed services are purchased separately.</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Percentage of software revenue that is recurring revenue is calculated as the sum of SaaS revenue, optional managed services revenue and support revenue as a percentage of total SaaS revenue, optional managed services revenue, support revenue, and perpetual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New SaaS Annual Contract Value (ACV) includes the annualized contract value of all new SaaS contracts received within the period; new</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unbundled SaaS contracts only include the license portion of those orders. In cases where SaaS is offered to partners through usage-based contracts, we include the incremental value of usage contracts over a rolling four quarters. Orders are only included in New SaaS ACV with a</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completed customer contract signed by both parties before the end of the period. New Unbundled SaaS ACV includes only the ACV of the unbundled SaaS contracts included in New SaaS ACV. New Bundled SaaS ACV includes only the ACV of the bundled SaaS contracts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included in New SaaS ACV and is comprised of two components:</w:t>
      </w:r>
    </w:p>
    <w:p>
      <w:pPr>
        <w:spacing w:after="0" w:line="261" w:lineRule="exact"/>
        <w:rPr>
          <w:sz w:val="20"/>
          <w:szCs w:val="20"/>
          <w:color w:val="auto"/>
        </w:rPr>
      </w:pPr>
    </w:p>
    <w:p>
      <w:pPr>
        <w:ind w:left="660" w:right="4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New Deals ACV, which represents the annual contract value of new bundled SaaS contracts, received within the period. This includes purchases of new applications by both new and existing customers as well as expansions of entitlements to applications already in use by existing customers, other than if in connection with a conversion. AI booking from new deals represents the portion of New Deals ACV attributable specifically to AI applications.</w:t>
      </w:r>
    </w:p>
    <w:p>
      <w:pPr>
        <w:spacing w:after="0" w:line="194" w:lineRule="exact"/>
        <w:rPr>
          <w:rFonts w:ascii="Arial" w:cs="Arial" w:eastAsia="Arial" w:hAnsi="Arial"/>
          <w:sz w:val="22"/>
          <w:szCs w:val="22"/>
          <w:color w:val="auto"/>
        </w:rPr>
      </w:pPr>
    </w:p>
    <w:p>
      <w:pPr>
        <w:ind w:left="660" w:right="20" w:hanging="328"/>
        <w:spacing w:after="0" w:line="25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ACV, which represents the bundled SaaS annual contract value sold to a customer who is converting from an on-premises application to the Verint Cloud within the period. This metric also includes the value of incremental licenses or expansion of entitlements as part of the conversion, including for AI applications.</w:t>
      </w:r>
    </w:p>
    <w:p>
      <w:pPr>
        <w:spacing w:after="0" w:line="19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SaaS Annual Recurring Revenue (SaaS ARR) represents the annualized quarterly run-rate value of active or signed SaaS contracts as of the end of a period. For unbundled SaaS contracts, the amount included in SaaS ARR is generally consistent with the amount that we invoice the customer annually for the term-based license transaction. In the case of acquired contracts that allow for early termination, SaaS ARR will reflect the annualized amount of committed contracts in the first quarter and then proportionally increase to the remaining amount of annualized ARR in the subsequent three quarters during the first year post acquisition. We use SaaS ARR to identify the annual recurring value of customer contracts at the end of a reporting period and to monitor the growth of our recurring business as we shift to SaaS. SaaS ARR reduces fluctuations due to seasonality, contract term, and the sales mix of subscriptions for bundled SaaS and unbundled SaaS. SaaS ARR should be viewed independently of revenue, and does not represent our revenue under ASC 606 on an annualized basis, as it is an operating metric that is</w:t>
      </w:r>
    </w:p>
    <w:p>
      <w:pPr>
        <w:sectPr>
          <w:pgSz w:w="11900" w:h="16838" w:orient="portrait"/>
          <w:cols w:equalWidth="0" w:num="1">
            <w:col w:w="11220"/>
          </w:cols>
          <w:pgMar w:left="320" w:top="89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impacted by contract start and end dates and renewal rates. SaaS ARR is not intended to be a replacement for forecasts of SaaS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Adjusted EBITDA is a non-GAAP measure defined as net income (loss) before interest expense, interest income, income taxes, depreciation expense, amortization expense, stock-based compensation expenses, revenue adjustments, restructuring expenses, acquisition expenses, accelerated lease costs, IT facilities and infrastructure realignment, and other expenses excluded from our non-GAAP financial measures as described above. We believe that adjusted EBITDA is also commonly used by investors to evaluate operating performance between companies because it helps reduce variability caused by differences in capital structures, income taxes, stock-based compensation expenses, accounting policies, and depreciation and amortization policies. Adjusted EBITDA is also used by credit rating agencies, lenders, and other parties to evaluate our creditworthiness.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Debt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Debt is a non-GAAP measure defined as the sum of long-term and short-term debt on our consolidated balance sheet, excluding unamortized discounts and issuance costs, less the sum of cash and cash equivalents, restricted cash, restricted cash equivalents, restricted bank time deposits, and restricted investments (including long-term portions), and short-term investments. We use this non-GAAP financial measure to help evaluate our capital structure, financial leverage, and our ability to reduce debt and to fund investing and financing activities and believe that it provides useful information to investors.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w:t>
      </w:r>
    </w:p>
    <w:p>
      <w:pPr>
        <w:spacing w:after="0" w:line="2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Free Cash Flow is defined as GAAP cash provided by operating activities less our capital expenditures, which include purchases of property and equipment and capitalized software development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Information About Constant Currency</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Because we operate on a global basis and transact business in many currencies, fluctuations in foreign currency exchange rates can affect our consolidated U.S. dollar operating results. To facilitate the assessment of our performance excluding the effect of foreign currency exchange rate fluctuations, we calculate our GAAP and non-GAAP revenue, cost of revenue, and operating expenses on both an as-reported basis and a constant currency basis, allowing for comparison of results between periods as if foreign currency exchange rates had remained constant. We perform our constant currency calculations by translating current-period results into U.S. dollars using prior-period average foreign currency exchange rates or hedge rates, as applicable, rather than current period exchange rates. We believe that constant currency measures, which exclude the impact of changes in foreign currency exchange rates, facilitate the assessment of underlying business trends.</w:t>
      </w:r>
    </w:p>
    <w:p>
      <w:pPr>
        <w:spacing w:after="0" w:line="212"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Unless otherwise indicated, our financial outlook, which is provided on a non-GAAP basis, reflects foreign currency exchange rates approximately consistent with rates in effect when the outlook is provided.</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also incur foreign exchange gains and losses resulting from the revaluation and settlement of monetary assets and liabilities that are denominated in currencies other than the entity’s functional currency. Our financial outlook for diluted earnings per share includes net foreign exchange gains or losses incurred to date, if any, but does not include potential future gains or losses.</w:t>
      </w:r>
    </w:p>
    <w:sectPr>
      <w:pgSz w:w="11900" w:h="16838" w:orient="portrait"/>
      <w:cols w:equalWidth="0" w:num="1">
        <w:col w:w="11200"/>
      </w:cols>
      <w:pgMar w:left="320" w:top="87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63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2024-12-04T15:12:01Z</dcterms:created>
  <dcterms:modified xsi:type="dcterms:W3CDTF">2024-12-04T15:12:01Z</dcterms:modified>
</cp:coreProperties>
</file>