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-610235</wp:posOffset>
            </wp:positionV>
            <wp:extent cx="57150" cy="6235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-610235</wp:posOffset>
            </wp:positionV>
            <wp:extent cx="5715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641985</wp:posOffset>
            </wp:positionV>
            <wp:extent cx="6997065" cy="4715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71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2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Robinson Kristen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225 BROADHOLLOW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VERINT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VRNT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700" w:hanging="1"/>
        <w:spacing w:after="0" w:line="24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MELVILLE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11747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04/10/2025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6,859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15,739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6,859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6,859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6,859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6,859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6,859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-2061845</wp:posOffset>
            </wp:positionV>
            <wp:extent cx="28575" cy="2067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360" w:hanging="2"/>
        <w:spacing w:after="0" w:line="24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22, 2024, the reporting person was granted 6,859 restricted stock units ("RSUs") subject to time vesting. Each RSU represents a right to receive one share of the common stock of the issuer and/or cash upon vesting. All 6,859 RSUs vested on April 10, 2025.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hanging="2"/>
        <w:spacing w:after="0" w:line="24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number of shares of common stock owned was previously overstated by 6,859 shares due to a number of RSUs that should have been reported in Table II instead of Table I on the reporting person's Form 4 filed on April 24,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These RSUs were incorrectly disclosed in Table I on the reporting person's Form 4 filed on April 24, 2024.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D. Fante,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Kristen O. Robinson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220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-4445</wp:posOffset>
            </wp:positionV>
            <wp:extent cx="4724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4096" TargetMode="External"/><Relationship Id="rId14" Type="http://schemas.openxmlformats.org/officeDocument/2006/relationships/hyperlink" Target="http://www.sec.gov/cgi-bin/browse-edgar?action=getcompany&amp;CIK=00011663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2025-04-14T15:27:57Z</dcterms:created>
  <dcterms:modified xsi:type="dcterms:W3CDTF">2025-04-14T15:27:57Z</dcterms:modified>
</cp:coreProperties>
</file>